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8F0" w14:textId="77777777" w:rsidR="00EF4E78" w:rsidRPr="00451E72" w:rsidRDefault="00EF4E78" w:rsidP="00EF4E78">
      <w:pPr>
        <w:spacing w:line="360" w:lineRule="auto"/>
        <w:ind w:left="0" w:hanging="2"/>
        <w:jc w:val="center"/>
        <w:rPr>
          <w:rFonts w:ascii="Times New Roman" w:eastAsia="Times New Roman" w:hAnsi="Times New Roman" w:cs="Times New Roman"/>
          <w:b/>
          <w:sz w:val="24"/>
          <w:szCs w:val="24"/>
        </w:rPr>
      </w:pPr>
    </w:p>
    <w:p w14:paraId="4228ECE2" w14:textId="77777777" w:rsidR="00EF4E78" w:rsidRPr="00160A99" w:rsidRDefault="00EF4E78" w:rsidP="00765369">
      <w:pPr>
        <w:pStyle w:val="CorpoartigoTeias"/>
      </w:pPr>
      <w:r w:rsidRPr="00160A99">
        <w:t xml:space="preserve">Adaptação transcultural da escala de </w:t>
      </w:r>
      <w:proofErr w:type="spellStart"/>
      <w:r w:rsidRPr="00160A99">
        <w:t>identificación</w:t>
      </w:r>
      <w:proofErr w:type="spellEnd"/>
      <w:r w:rsidRPr="00160A99">
        <w:t xml:space="preserve"> de </w:t>
      </w:r>
      <w:proofErr w:type="spellStart"/>
      <w:r w:rsidRPr="00160A99">
        <w:t>estudiantes</w:t>
      </w:r>
      <w:proofErr w:type="spellEnd"/>
      <w:r w:rsidRPr="00160A99">
        <w:t xml:space="preserve"> </w:t>
      </w:r>
      <w:proofErr w:type="spellStart"/>
      <w:r w:rsidRPr="00160A99">
        <w:t>doblemente</w:t>
      </w:r>
      <w:proofErr w:type="spellEnd"/>
      <w:r w:rsidRPr="00160A99">
        <w:t xml:space="preserve"> </w:t>
      </w:r>
      <w:proofErr w:type="spellStart"/>
      <w:r w:rsidRPr="00160A99">
        <w:t>excepcionales</w:t>
      </w:r>
      <w:proofErr w:type="spellEnd"/>
    </w:p>
    <w:p w14:paraId="371470F2" w14:textId="77777777" w:rsidR="00EF4E78" w:rsidRPr="00451E72" w:rsidRDefault="00EF4E78" w:rsidP="00765369">
      <w:pPr>
        <w:pStyle w:val="CorpoartigoTeias"/>
      </w:pPr>
    </w:p>
    <w:p w14:paraId="263DBB66" w14:textId="77777777" w:rsidR="00EF4E78" w:rsidRPr="00451E72" w:rsidRDefault="00EF4E78" w:rsidP="00EF4E78">
      <w:pPr>
        <w:pStyle w:val="Ttuloartigoingls"/>
        <w:spacing w:before="0" w:line="360" w:lineRule="auto"/>
        <w:ind w:hanging="2"/>
        <w:rPr>
          <w:rFonts w:ascii="Times New Roman" w:hAnsi="Times New Roman" w:cs="Times New Roman"/>
          <w:bCs/>
          <w:caps w:val="0"/>
          <w:color w:val="auto"/>
          <w:sz w:val="24"/>
          <w:lang w:val="pt-BR"/>
        </w:rPr>
      </w:pPr>
      <w:r w:rsidRPr="00451E72">
        <w:rPr>
          <w:rFonts w:ascii="Times New Roman" w:hAnsi="Times New Roman" w:cs="Times New Roman"/>
          <w:bCs/>
          <w:caps w:val="0"/>
          <w:color w:val="auto"/>
          <w:sz w:val="24"/>
          <w:lang w:val="pt-BR"/>
        </w:rPr>
        <w:t xml:space="preserve">Cross-cultural </w:t>
      </w:r>
      <w:proofErr w:type="spellStart"/>
      <w:r w:rsidRPr="00451E72">
        <w:rPr>
          <w:rFonts w:ascii="Times New Roman" w:hAnsi="Times New Roman" w:cs="Times New Roman"/>
          <w:bCs/>
          <w:caps w:val="0"/>
          <w:color w:val="auto"/>
          <w:sz w:val="24"/>
          <w:lang w:val="pt-BR"/>
        </w:rPr>
        <w:t>adaptation</w:t>
      </w:r>
      <w:proofErr w:type="spellEnd"/>
      <w:r w:rsidRPr="00451E72">
        <w:rPr>
          <w:rFonts w:ascii="Times New Roman" w:hAnsi="Times New Roman" w:cs="Times New Roman"/>
          <w:bCs/>
          <w:caps w:val="0"/>
          <w:color w:val="auto"/>
          <w:sz w:val="24"/>
          <w:lang w:val="pt-BR"/>
        </w:rPr>
        <w:t xml:space="preserve"> </w:t>
      </w:r>
      <w:proofErr w:type="spellStart"/>
      <w:r w:rsidRPr="00451E72">
        <w:rPr>
          <w:rFonts w:ascii="Times New Roman" w:hAnsi="Times New Roman" w:cs="Times New Roman"/>
          <w:bCs/>
          <w:caps w:val="0"/>
          <w:color w:val="auto"/>
          <w:sz w:val="24"/>
          <w:lang w:val="pt-BR"/>
        </w:rPr>
        <w:t>of</w:t>
      </w:r>
      <w:proofErr w:type="spellEnd"/>
      <w:r w:rsidRPr="00451E72">
        <w:rPr>
          <w:rFonts w:ascii="Times New Roman" w:hAnsi="Times New Roman" w:cs="Times New Roman"/>
          <w:bCs/>
          <w:caps w:val="0"/>
          <w:color w:val="auto"/>
          <w:sz w:val="24"/>
          <w:lang w:val="pt-BR"/>
        </w:rPr>
        <w:t xml:space="preserve"> </w:t>
      </w:r>
      <w:proofErr w:type="spellStart"/>
      <w:r w:rsidRPr="00451E72">
        <w:rPr>
          <w:rFonts w:ascii="Times New Roman" w:hAnsi="Times New Roman" w:cs="Times New Roman"/>
          <w:bCs/>
          <w:caps w:val="0"/>
          <w:color w:val="auto"/>
          <w:sz w:val="24"/>
          <w:lang w:val="pt-BR"/>
        </w:rPr>
        <w:t>the</w:t>
      </w:r>
      <w:proofErr w:type="spellEnd"/>
      <w:r w:rsidRPr="00451E72">
        <w:rPr>
          <w:rFonts w:ascii="Times New Roman" w:hAnsi="Times New Roman" w:cs="Times New Roman"/>
          <w:bCs/>
          <w:caps w:val="0"/>
          <w:color w:val="auto"/>
          <w:sz w:val="24"/>
          <w:lang w:val="pt-BR"/>
        </w:rPr>
        <w:t xml:space="preserve"> escala de </w:t>
      </w:r>
      <w:proofErr w:type="spellStart"/>
      <w:r w:rsidRPr="00451E72">
        <w:rPr>
          <w:rFonts w:ascii="Times New Roman" w:hAnsi="Times New Roman" w:cs="Times New Roman"/>
          <w:bCs/>
          <w:caps w:val="0"/>
          <w:color w:val="auto"/>
          <w:sz w:val="24"/>
          <w:lang w:val="pt-BR"/>
        </w:rPr>
        <w:t>identificación</w:t>
      </w:r>
      <w:proofErr w:type="spellEnd"/>
      <w:r w:rsidRPr="00451E72">
        <w:rPr>
          <w:rFonts w:ascii="Times New Roman" w:hAnsi="Times New Roman" w:cs="Times New Roman"/>
          <w:bCs/>
          <w:caps w:val="0"/>
          <w:color w:val="auto"/>
          <w:sz w:val="24"/>
          <w:lang w:val="pt-BR"/>
        </w:rPr>
        <w:t xml:space="preserve"> de </w:t>
      </w:r>
      <w:proofErr w:type="spellStart"/>
      <w:r w:rsidRPr="00451E72">
        <w:rPr>
          <w:rFonts w:ascii="Times New Roman" w:hAnsi="Times New Roman" w:cs="Times New Roman"/>
          <w:bCs/>
          <w:caps w:val="0"/>
          <w:color w:val="auto"/>
          <w:sz w:val="24"/>
          <w:lang w:val="pt-BR"/>
        </w:rPr>
        <w:t>estudiantes</w:t>
      </w:r>
      <w:proofErr w:type="spellEnd"/>
      <w:r w:rsidRPr="00451E72">
        <w:rPr>
          <w:rFonts w:ascii="Times New Roman" w:hAnsi="Times New Roman" w:cs="Times New Roman"/>
          <w:bCs/>
          <w:caps w:val="0"/>
          <w:color w:val="auto"/>
          <w:sz w:val="24"/>
          <w:lang w:val="pt-BR"/>
        </w:rPr>
        <w:t xml:space="preserve"> </w:t>
      </w:r>
      <w:proofErr w:type="spellStart"/>
      <w:r w:rsidRPr="00451E72">
        <w:rPr>
          <w:rFonts w:ascii="Times New Roman" w:hAnsi="Times New Roman" w:cs="Times New Roman"/>
          <w:bCs/>
          <w:caps w:val="0"/>
          <w:color w:val="auto"/>
          <w:sz w:val="24"/>
          <w:lang w:val="pt-BR"/>
        </w:rPr>
        <w:t>doblemente</w:t>
      </w:r>
      <w:proofErr w:type="spellEnd"/>
      <w:r w:rsidRPr="00451E72">
        <w:rPr>
          <w:rFonts w:ascii="Times New Roman" w:hAnsi="Times New Roman" w:cs="Times New Roman"/>
          <w:bCs/>
          <w:caps w:val="0"/>
          <w:color w:val="auto"/>
          <w:sz w:val="24"/>
          <w:lang w:val="pt-BR"/>
        </w:rPr>
        <w:t xml:space="preserve"> </w:t>
      </w:r>
      <w:proofErr w:type="spellStart"/>
      <w:r w:rsidRPr="00451E72">
        <w:rPr>
          <w:rFonts w:ascii="Times New Roman" w:hAnsi="Times New Roman" w:cs="Times New Roman"/>
          <w:bCs/>
          <w:caps w:val="0"/>
          <w:color w:val="auto"/>
          <w:sz w:val="24"/>
          <w:lang w:val="pt-BR"/>
        </w:rPr>
        <w:t>excepcionales</w:t>
      </w:r>
      <w:proofErr w:type="spellEnd"/>
    </w:p>
    <w:p w14:paraId="294AF679" w14:textId="77777777" w:rsidR="00EF4E78" w:rsidRPr="00451E72" w:rsidRDefault="00EF4E78" w:rsidP="00EF4E78">
      <w:pPr>
        <w:ind w:left="0" w:hanging="2"/>
        <w:jc w:val="center"/>
        <w:rPr>
          <w:rFonts w:ascii="Times New Roman" w:eastAsia="Times New Roman" w:hAnsi="Times New Roman" w:cs="Times New Roman"/>
          <w:b/>
          <w:sz w:val="24"/>
          <w:szCs w:val="24"/>
        </w:rPr>
      </w:pPr>
    </w:p>
    <w:p w14:paraId="3BDE3F32" w14:textId="43C7BBF1" w:rsidR="00EF4E78" w:rsidRPr="00451E72" w:rsidRDefault="00765369" w:rsidP="00EF4E7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Clarissa Maria Marques </w:t>
      </w:r>
      <w:proofErr w:type="spellStart"/>
      <w:r>
        <w:rPr>
          <w:rFonts w:ascii="Times New Roman" w:eastAsia="Times New Roman" w:hAnsi="Times New Roman" w:cs="Times New Roman"/>
          <w:sz w:val="24"/>
          <w:szCs w:val="24"/>
        </w:rPr>
        <w:t>Ogeda</w:t>
      </w:r>
      <w:proofErr w:type="spellEnd"/>
    </w:p>
    <w:p w14:paraId="582B46B1" w14:textId="4A0A70E6" w:rsidR="00EF4E78" w:rsidRDefault="00765369" w:rsidP="00EF4E7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Sadao </w:t>
      </w:r>
      <w:proofErr w:type="spellStart"/>
      <w:r>
        <w:rPr>
          <w:rFonts w:ascii="Times New Roman" w:eastAsia="Times New Roman" w:hAnsi="Times New Roman" w:cs="Times New Roman"/>
          <w:sz w:val="24"/>
          <w:szCs w:val="24"/>
        </w:rPr>
        <w:t>Omote</w:t>
      </w:r>
      <w:proofErr w:type="spellEnd"/>
    </w:p>
    <w:p w14:paraId="54174802" w14:textId="77777777" w:rsidR="00765369" w:rsidRDefault="00765369" w:rsidP="00EF4E78">
      <w:pPr>
        <w:ind w:left="0" w:hanging="2"/>
        <w:jc w:val="right"/>
        <w:rPr>
          <w:rFonts w:ascii="Times New Roman" w:eastAsia="Times New Roman" w:hAnsi="Times New Roman" w:cs="Times New Roman"/>
          <w:sz w:val="24"/>
          <w:szCs w:val="24"/>
        </w:rPr>
      </w:pPr>
    </w:p>
    <w:p w14:paraId="05720A41" w14:textId="77777777" w:rsidR="00EF4E78" w:rsidRPr="00451E72" w:rsidRDefault="00EF4E78" w:rsidP="00EF4E78">
      <w:pPr>
        <w:ind w:left="0" w:hanging="2"/>
        <w:rPr>
          <w:rFonts w:ascii="Times New Roman" w:eastAsia="Times New Roman" w:hAnsi="Times New Roman" w:cs="Times New Roman"/>
          <w:b/>
          <w:sz w:val="24"/>
          <w:szCs w:val="24"/>
        </w:rPr>
      </w:pPr>
      <w:r w:rsidRPr="00451E72">
        <w:rPr>
          <w:rFonts w:ascii="Times New Roman" w:eastAsia="Times New Roman" w:hAnsi="Times New Roman" w:cs="Times New Roman"/>
          <w:b/>
          <w:sz w:val="24"/>
          <w:szCs w:val="24"/>
        </w:rPr>
        <w:t>Resumo:</w:t>
      </w:r>
    </w:p>
    <w:p w14:paraId="03001F15" w14:textId="77777777" w:rsidR="00EF4E78" w:rsidRPr="00451E72" w:rsidRDefault="00EF4E78" w:rsidP="00EF4E78">
      <w:pPr>
        <w:ind w:left="0" w:hanging="2"/>
        <w:jc w:val="both"/>
        <w:rPr>
          <w:rFonts w:ascii="Times New Roman" w:eastAsia="Times New Roman" w:hAnsi="Times New Roman" w:cs="Times New Roman"/>
          <w:sz w:val="24"/>
          <w:szCs w:val="24"/>
        </w:rPr>
      </w:pPr>
      <w:r w:rsidRPr="00451E72">
        <w:rPr>
          <w:rFonts w:ascii="Times New Roman" w:eastAsia="Times New Roman" w:hAnsi="Times New Roman" w:cs="Times New Roman"/>
        </w:rPr>
        <w:t xml:space="preserve">A Dupla Excepcionalidade pode ser definida pela coexistência de alta performance, habilidade, talento ou potencial juntamente com alguma desordem psiquiátrica, neurológica, comportamental, sensorial, física ou educacional. Este estudo abordou especificamente a associação entre Superdotação e Transtorno de Déficit de Atenção/Hiperatividade (TDAH). A pesquisa consistiu em uma investigação transversal, de caráter exploratório e natureza metodológica, cujo objetivo foi adaptar </w:t>
      </w:r>
      <w:proofErr w:type="spellStart"/>
      <w:r w:rsidRPr="00451E72">
        <w:rPr>
          <w:rFonts w:ascii="Times New Roman" w:eastAsia="Times New Roman" w:hAnsi="Times New Roman" w:cs="Times New Roman"/>
        </w:rPr>
        <w:t>transculturalmente</w:t>
      </w:r>
      <w:proofErr w:type="spellEnd"/>
      <w:r w:rsidRPr="00451E72">
        <w:rPr>
          <w:rFonts w:ascii="Times New Roman" w:eastAsia="Times New Roman" w:hAnsi="Times New Roman" w:cs="Times New Roman"/>
        </w:rPr>
        <w:t xml:space="preserve"> a Escala de </w:t>
      </w:r>
      <w:proofErr w:type="spellStart"/>
      <w:r w:rsidRPr="00451E72">
        <w:rPr>
          <w:rFonts w:ascii="Times New Roman" w:eastAsia="Times New Roman" w:hAnsi="Times New Roman" w:cs="Times New Roman"/>
        </w:rPr>
        <w:t>Identificación</w:t>
      </w:r>
      <w:proofErr w:type="spellEnd"/>
      <w:r w:rsidRPr="00451E72">
        <w:rPr>
          <w:rFonts w:ascii="Times New Roman" w:eastAsia="Times New Roman" w:hAnsi="Times New Roman" w:cs="Times New Roman"/>
        </w:rPr>
        <w:t xml:space="preserve"> de Estudiantes </w:t>
      </w:r>
      <w:proofErr w:type="spellStart"/>
      <w:r w:rsidRPr="00451E72">
        <w:rPr>
          <w:rFonts w:ascii="Times New Roman" w:eastAsia="Times New Roman" w:hAnsi="Times New Roman" w:cs="Times New Roman"/>
        </w:rPr>
        <w:t>Doblemente</w:t>
      </w:r>
      <w:proofErr w:type="spellEnd"/>
      <w:r w:rsidRPr="00451E72">
        <w:rPr>
          <w:rFonts w:ascii="Times New Roman" w:eastAsia="Times New Roman" w:hAnsi="Times New Roman" w:cs="Times New Roman"/>
        </w:rPr>
        <w:t xml:space="preserve"> </w:t>
      </w:r>
      <w:proofErr w:type="spellStart"/>
      <w:r w:rsidRPr="00451E72">
        <w:rPr>
          <w:rFonts w:ascii="Times New Roman" w:eastAsia="Times New Roman" w:hAnsi="Times New Roman" w:cs="Times New Roman"/>
        </w:rPr>
        <w:t>Excepcionales</w:t>
      </w:r>
      <w:proofErr w:type="spellEnd"/>
      <w:r w:rsidRPr="00451E72">
        <w:rPr>
          <w:rFonts w:ascii="Times New Roman" w:eastAsia="Times New Roman" w:hAnsi="Times New Roman" w:cs="Times New Roman"/>
        </w:rPr>
        <w:t xml:space="preserve"> – versão para professores. A escala contém 39 itens distribuídos em quatro dimensões: acadêmica, cognitiva, emocional/comportamental e social. Os procedimentos metodológicos incluíram a tradução da escala para o português, a </w:t>
      </w:r>
      <w:proofErr w:type="spellStart"/>
      <w:r w:rsidRPr="00451E72">
        <w:rPr>
          <w:rFonts w:ascii="Times New Roman" w:eastAsia="Times New Roman" w:hAnsi="Times New Roman" w:cs="Times New Roman"/>
        </w:rPr>
        <w:t>retrotradução</w:t>
      </w:r>
      <w:proofErr w:type="spellEnd"/>
      <w:r w:rsidRPr="00451E72">
        <w:rPr>
          <w:rFonts w:ascii="Times New Roman" w:eastAsia="Times New Roman" w:hAnsi="Times New Roman" w:cs="Times New Roman"/>
        </w:rPr>
        <w:t xml:space="preserve"> para o espanhol e a adequação semântica, idiomática e conceitual, realizadas por um comitê de especialistas. Participaram dessas etapas 18 profissionais, incluindo tradutores, pesquisadores especializados e experts em validação de instrumentos. Para avaliar o comportamento dos itens, foi calculada a porcentagem de concordância referente à qualidade da adaptação, clareza, compreensão, adequação e necessidade de modificação. No processo de adequação conceitual, utilizou-se o Índice de Validade de Conteúdo (IVC), com base nas avaliações dos especialistas. As sugestões de modificação foram incorporadas na fase de harmonização, e nenhum item foi eliminado. A adaptação foi considerada bem-sucedida e atingiu plenamente seus objetivos.</w:t>
      </w:r>
    </w:p>
    <w:p w14:paraId="36B51656" w14:textId="77777777" w:rsidR="00EF4E78" w:rsidRPr="00451E72" w:rsidRDefault="00EF4E78" w:rsidP="00EF4E78">
      <w:pPr>
        <w:ind w:left="0" w:hanging="2"/>
        <w:jc w:val="both"/>
        <w:rPr>
          <w:rFonts w:ascii="Times New Roman" w:eastAsia="Times New Roman" w:hAnsi="Times New Roman" w:cs="Times New Roman"/>
          <w:sz w:val="24"/>
          <w:szCs w:val="24"/>
        </w:rPr>
      </w:pPr>
    </w:p>
    <w:p w14:paraId="5C26B371" w14:textId="77777777" w:rsidR="00EF4E78" w:rsidRPr="00451E72" w:rsidRDefault="00EF4E78" w:rsidP="00EF4E78">
      <w:pPr>
        <w:ind w:left="0" w:hanging="2"/>
        <w:jc w:val="both"/>
        <w:rPr>
          <w:rFonts w:ascii="Times New Roman" w:eastAsia="Times New Roman" w:hAnsi="Times New Roman" w:cs="Times New Roman"/>
        </w:rPr>
      </w:pPr>
      <w:r w:rsidRPr="00451E72">
        <w:rPr>
          <w:rFonts w:ascii="Times New Roman" w:eastAsia="Times New Roman" w:hAnsi="Times New Roman" w:cs="Times New Roman"/>
          <w:b/>
          <w:sz w:val="24"/>
          <w:szCs w:val="24"/>
        </w:rPr>
        <w:t>Palavras-chave:</w:t>
      </w:r>
      <w:r w:rsidRPr="00451E72">
        <w:rPr>
          <w:rFonts w:ascii="Times New Roman" w:eastAsia="Noto Serif" w:hAnsi="Times New Roman" w:cs="Times New Roman"/>
          <w:sz w:val="21"/>
          <w:szCs w:val="21"/>
          <w:highlight w:val="white"/>
        </w:rPr>
        <w:t xml:space="preserve"> </w:t>
      </w:r>
      <w:proofErr w:type="gramStart"/>
      <w:r w:rsidRPr="00451E72">
        <w:rPr>
          <w:rFonts w:ascii="Times New Roman" w:hAnsi="Times New Roman" w:cs="Times New Roman"/>
        </w:rPr>
        <w:t>Superdotação;  Dupla</w:t>
      </w:r>
      <w:proofErr w:type="gramEnd"/>
      <w:r w:rsidRPr="00451E72">
        <w:rPr>
          <w:rFonts w:ascii="Times New Roman" w:hAnsi="Times New Roman" w:cs="Times New Roman"/>
        </w:rPr>
        <w:t xml:space="preserve"> excepcionalidade; Transculturação.</w:t>
      </w:r>
    </w:p>
    <w:p w14:paraId="53BECA7E" w14:textId="77777777" w:rsidR="00EF4E78" w:rsidRPr="00451E72" w:rsidRDefault="00EF4E78" w:rsidP="00EF4E78">
      <w:pPr>
        <w:ind w:left="0" w:hanging="2"/>
        <w:jc w:val="both"/>
        <w:rPr>
          <w:rFonts w:ascii="Times New Roman" w:eastAsia="Times New Roman" w:hAnsi="Times New Roman" w:cs="Times New Roman"/>
          <w:sz w:val="24"/>
          <w:szCs w:val="24"/>
        </w:rPr>
      </w:pPr>
      <w:r w:rsidRPr="00451E72">
        <w:rPr>
          <w:rFonts w:ascii="Times New Roman" w:eastAsia="Times New Roman" w:hAnsi="Times New Roman" w:cs="Times New Roman"/>
          <w:sz w:val="24"/>
          <w:szCs w:val="24"/>
        </w:rPr>
        <w:tab/>
      </w:r>
    </w:p>
    <w:p w14:paraId="596B38CF" w14:textId="77777777" w:rsidR="00EF4E78" w:rsidRPr="00451E72" w:rsidRDefault="00EF4E78" w:rsidP="00EF4E78">
      <w:pPr>
        <w:ind w:left="0" w:hanging="2"/>
        <w:jc w:val="both"/>
        <w:rPr>
          <w:rFonts w:ascii="Times New Roman" w:eastAsia="Times New Roman" w:hAnsi="Times New Roman" w:cs="Times New Roman"/>
          <w:b/>
          <w:sz w:val="24"/>
          <w:szCs w:val="24"/>
          <w:lang w:val="en-US"/>
        </w:rPr>
      </w:pPr>
      <w:r w:rsidRPr="00451E72">
        <w:rPr>
          <w:rFonts w:ascii="Times New Roman" w:eastAsia="Times New Roman" w:hAnsi="Times New Roman" w:cs="Times New Roman"/>
          <w:b/>
          <w:sz w:val="24"/>
          <w:szCs w:val="24"/>
          <w:lang w:val="en-US"/>
        </w:rPr>
        <w:t xml:space="preserve">Abstract: </w:t>
      </w:r>
    </w:p>
    <w:p w14:paraId="016F52C4" w14:textId="77777777" w:rsidR="00EF4E78" w:rsidRPr="00451E72" w:rsidRDefault="00EF4E78" w:rsidP="00EF4E78">
      <w:pPr>
        <w:ind w:left="0" w:hanging="2"/>
        <w:jc w:val="both"/>
        <w:rPr>
          <w:rFonts w:ascii="Times New Roman" w:eastAsia="Times New Roman" w:hAnsi="Times New Roman" w:cs="Times New Roman"/>
          <w:b/>
          <w:lang w:val="en-US"/>
        </w:rPr>
      </w:pPr>
      <w:r w:rsidRPr="00451E72">
        <w:rPr>
          <w:rFonts w:ascii="Times New Roman" w:eastAsia="Times New Roman" w:hAnsi="Times New Roman" w:cs="Times New Roman"/>
          <w:lang w:val="en-US"/>
        </w:rPr>
        <w:t xml:space="preserve">Twice Exceptionality can be defined as the coexistence of high performance, ability, talent, or potential alongside a psychiatric, neurological, behavioral, sensory, physical, or educational disorder. This study specifically addressed the association between Giftedness and Attention-Deficit/Hyperactivity Disorder (ADHD). It was a cross-sectional, exploratory, and methodological investigation aimed at the cross-cultural adaptation of the </w:t>
      </w:r>
      <w:r w:rsidRPr="00451E72">
        <w:rPr>
          <w:rFonts w:ascii="Times New Roman" w:eastAsia="Times New Roman" w:hAnsi="Times New Roman" w:cs="Times New Roman"/>
          <w:i/>
          <w:iCs/>
          <w:lang w:val="en-US"/>
        </w:rPr>
        <w:t xml:space="preserve">Escala de </w:t>
      </w:r>
      <w:proofErr w:type="spellStart"/>
      <w:r w:rsidRPr="00451E72">
        <w:rPr>
          <w:rFonts w:ascii="Times New Roman" w:eastAsia="Times New Roman" w:hAnsi="Times New Roman" w:cs="Times New Roman"/>
          <w:i/>
          <w:iCs/>
          <w:lang w:val="en-US"/>
        </w:rPr>
        <w:t>Identificación</w:t>
      </w:r>
      <w:proofErr w:type="spellEnd"/>
      <w:r w:rsidRPr="00451E72">
        <w:rPr>
          <w:rFonts w:ascii="Times New Roman" w:eastAsia="Times New Roman" w:hAnsi="Times New Roman" w:cs="Times New Roman"/>
          <w:i/>
          <w:iCs/>
          <w:lang w:val="en-US"/>
        </w:rPr>
        <w:t xml:space="preserve"> de </w:t>
      </w:r>
      <w:proofErr w:type="spellStart"/>
      <w:r w:rsidRPr="00451E72">
        <w:rPr>
          <w:rFonts w:ascii="Times New Roman" w:eastAsia="Times New Roman" w:hAnsi="Times New Roman" w:cs="Times New Roman"/>
          <w:i/>
          <w:iCs/>
          <w:lang w:val="en-US"/>
        </w:rPr>
        <w:t>Estudiantes</w:t>
      </w:r>
      <w:proofErr w:type="spellEnd"/>
      <w:r w:rsidRPr="00451E72">
        <w:rPr>
          <w:rFonts w:ascii="Times New Roman" w:eastAsia="Times New Roman" w:hAnsi="Times New Roman" w:cs="Times New Roman"/>
          <w:i/>
          <w:iCs/>
          <w:lang w:val="en-US"/>
        </w:rPr>
        <w:t xml:space="preserve"> </w:t>
      </w:r>
      <w:proofErr w:type="spellStart"/>
      <w:r w:rsidRPr="00451E72">
        <w:rPr>
          <w:rFonts w:ascii="Times New Roman" w:eastAsia="Times New Roman" w:hAnsi="Times New Roman" w:cs="Times New Roman"/>
          <w:i/>
          <w:iCs/>
          <w:lang w:val="en-US"/>
        </w:rPr>
        <w:t>Doblemente</w:t>
      </w:r>
      <w:proofErr w:type="spellEnd"/>
      <w:r w:rsidRPr="00451E72">
        <w:rPr>
          <w:rFonts w:ascii="Times New Roman" w:eastAsia="Times New Roman" w:hAnsi="Times New Roman" w:cs="Times New Roman"/>
          <w:i/>
          <w:iCs/>
          <w:lang w:val="en-US"/>
        </w:rPr>
        <w:t xml:space="preserve"> </w:t>
      </w:r>
      <w:proofErr w:type="spellStart"/>
      <w:r w:rsidRPr="00451E72">
        <w:rPr>
          <w:rFonts w:ascii="Times New Roman" w:eastAsia="Times New Roman" w:hAnsi="Times New Roman" w:cs="Times New Roman"/>
          <w:i/>
          <w:iCs/>
          <w:lang w:val="en-US"/>
        </w:rPr>
        <w:t>Excepcionales</w:t>
      </w:r>
      <w:proofErr w:type="spellEnd"/>
      <w:r w:rsidRPr="00451E72">
        <w:rPr>
          <w:rFonts w:ascii="Times New Roman" w:eastAsia="Times New Roman" w:hAnsi="Times New Roman" w:cs="Times New Roman"/>
          <w:lang w:val="en-US"/>
        </w:rPr>
        <w:t xml:space="preserve"> – teacher version. The scale comprises 39 items distributed across four dimensions: academic, cognitive, emotional/behavioral, and social. Methodological procedures included translation into Portuguese, back-translation into Spanish, and semantic, idiomatic, and conceptual adaptation carried out by a committee of specialists. Eighteen professionals participated in these stages, including translators, specialized researchers, and experts in instrument validation. To assess item behavior, the percentage of agreement was calculated regarding the quality of adaptation, clarity, comprehension, appropriateness, and need for modification. In the conceptual adaptation process, the Content Validity Index (CVI) was </w:t>
      </w:r>
      <w:r w:rsidRPr="00451E72">
        <w:rPr>
          <w:rFonts w:ascii="Times New Roman" w:eastAsia="Times New Roman" w:hAnsi="Times New Roman" w:cs="Times New Roman"/>
          <w:lang w:val="en-US"/>
        </w:rPr>
        <w:lastRenderedPageBreak/>
        <w:t>applied based on expert evaluations. Suggested modifications were incorporated during the harmonization phase, and no items were eliminated. The adaptation was considered successful and fully achieved its objectives.</w:t>
      </w:r>
    </w:p>
    <w:p w14:paraId="26C6DC75" w14:textId="77777777" w:rsidR="00EF4E78" w:rsidRPr="00451E72" w:rsidRDefault="00EF4E78" w:rsidP="00EF4E78">
      <w:pPr>
        <w:ind w:left="0" w:hanging="2"/>
        <w:jc w:val="both"/>
        <w:rPr>
          <w:rFonts w:ascii="Times New Roman" w:eastAsia="Times New Roman" w:hAnsi="Times New Roman" w:cs="Times New Roman"/>
          <w:sz w:val="24"/>
          <w:szCs w:val="24"/>
          <w:lang w:val="en-US"/>
        </w:rPr>
      </w:pPr>
    </w:p>
    <w:p w14:paraId="36043146" w14:textId="77777777" w:rsidR="00EF4E78" w:rsidRPr="00451E72" w:rsidRDefault="00EF4E78" w:rsidP="00EF4E78">
      <w:pPr>
        <w:ind w:left="0" w:hanging="2"/>
        <w:jc w:val="both"/>
        <w:rPr>
          <w:rFonts w:ascii="Times New Roman" w:eastAsia="Times New Roman" w:hAnsi="Times New Roman" w:cs="Times New Roman"/>
          <w:lang w:val="en-US"/>
        </w:rPr>
      </w:pPr>
      <w:r w:rsidRPr="00451E72">
        <w:rPr>
          <w:rFonts w:ascii="Times New Roman" w:eastAsia="Times New Roman" w:hAnsi="Times New Roman" w:cs="Times New Roman"/>
          <w:b/>
          <w:sz w:val="24"/>
          <w:szCs w:val="24"/>
          <w:lang w:val="en-US"/>
        </w:rPr>
        <w:t>Keywords:</w:t>
      </w:r>
      <w:r w:rsidRPr="00451E72">
        <w:rPr>
          <w:rFonts w:ascii="Times New Roman" w:eastAsia="Times New Roman" w:hAnsi="Times New Roman" w:cs="Times New Roman"/>
          <w:sz w:val="24"/>
          <w:szCs w:val="24"/>
          <w:lang w:val="en-US"/>
        </w:rPr>
        <w:t xml:space="preserve"> </w:t>
      </w:r>
      <w:r w:rsidRPr="00451E72">
        <w:rPr>
          <w:rFonts w:ascii="Times New Roman" w:eastAsia="Times New Roman" w:hAnsi="Times New Roman" w:cs="Times New Roman"/>
          <w:lang w:val="en-US"/>
        </w:rPr>
        <w:t>Giftedness; Twice exceptionality; Cross-cultural adaptation.</w:t>
      </w:r>
    </w:p>
    <w:p w14:paraId="59E31552" w14:textId="77777777" w:rsidR="00EF4E78" w:rsidRPr="00451E72" w:rsidRDefault="00EF4E78" w:rsidP="00EF4E78">
      <w:pPr>
        <w:ind w:left="0" w:hanging="2"/>
        <w:jc w:val="both"/>
        <w:rPr>
          <w:rFonts w:ascii="Times New Roman" w:eastAsia="Times New Roman" w:hAnsi="Times New Roman" w:cs="Times New Roman"/>
          <w:sz w:val="24"/>
          <w:szCs w:val="24"/>
          <w:lang w:val="en-US"/>
        </w:rPr>
      </w:pPr>
    </w:p>
    <w:p w14:paraId="77B5C680" w14:textId="77777777" w:rsidR="00EF4E78" w:rsidRDefault="00EF4E78" w:rsidP="00EF4E78">
      <w:pPr>
        <w:spacing w:line="360" w:lineRule="auto"/>
        <w:ind w:left="0" w:hanging="2"/>
        <w:jc w:val="both"/>
        <w:rPr>
          <w:rFonts w:ascii="Times New Roman" w:eastAsia="Times New Roman" w:hAnsi="Times New Roman" w:cs="Times New Roman"/>
          <w:b/>
          <w:sz w:val="24"/>
          <w:szCs w:val="24"/>
        </w:rPr>
      </w:pPr>
      <w:r w:rsidRPr="00451E72">
        <w:rPr>
          <w:rFonts w:ascii="Times New Roman" w:eastAsia="Times New Roman" w:hAnsi="Times New Roman" w:cs="Times New Roman"/>
          <w:b/>
          <w:sz w:val="24"/>
          <w:szCs w:val="24"/>
        </w:rPr>
        <w:t xml:space="preserve">Introdução </w:t>
      </w:r>
    </w:p>
    <w:p w14:paraId="138D02EE" w14:textId="77777777" w:rsidR="00EF4E78" w:rsidRPr="00CC6FA6" w:rsidRDefault="00EF4E78" w:rsidP="00765369">
      <w:pPr>
        <w:spacing w:line="360" w:lineRule="auto"/>
        <w:ind w:leftChars="0" w:left="0" w:firstLineChars="0" w:firstLine="720"/>
        <w:jc w:val="both"/>
        <w:rPr>
          <w:rFonts w:ascii="Times New Roman" w:eastAsia="Times New Roman" w:hAnsi="Times New Roman" w:cs="Times New Roman"/>
          <w:bCs/>
          <w:sz w:val="24"/>
          <w:szCs w:val="24"/>
        </w:rPr>
      </w:pPr>
      <w:r w:rsidRPr="00CC6FA6">
        <w:rPr>
          <w:rFonts w:ascii="Times New Roman" w:eastAsia="Times New Roman" w:hAnsi="Times New Roman" w:cs="Times New Roman"/>
          <w:bCs/>
          <w:sz w:val="24"/>
          <w:szCs w:val="24"/>
        </w:rPr>
        <w:t xml:space="preserve">Internacionalmente, a literatura tem proposto normas metodologicamente corretas para a adaptação transcultural de instrumentos de coleta de dados, com uma tendência crescente à padronização dessas normas. De acordo com alguns desses protocolos, os seguintes passos são essenciais durante esse processo: tradução inicial, síntese, </w:t>
      </w:r>
      <w:proofErr w:type="spellStart"/>
      <w:r w:rsidRPr="00CC6FA6">
        <w:rPr>
          <w:rFonts w:ascii="Times New Roman" w:eastAsia="Times New Roman" w:hAnsi="Times New Roman" w:cs="Times New Roman"/>
          <w:bCs/>
          <w:sz w:val="24"/>
          <w:szCs w:val="24"/>
        </w:rPr>
        <w:t>retrotradução</w:t>
      </w:r>
      <w:proofErr w:type="spellEnd"/>
      <w:r w:rsidRPr="00CC6FA6">
        <w:rPr>
          <w:rFonts w:ascii="Times New Roman" w:eastAsia="Times New Roman" w:hAnsi="Times New Roman" w:cs="Times New Roman"/>
          <w:bCs/>
          <w:sz w:val="24"/>
          <w:szCs w:val="24"/>
        </w:rPr>
        <w:t>, revisão por um comitê de especialistas e realização do pré-teste/estudo piloto. Esse processo é fundamental, pois permite uma avaliação válida e segura de diferentes populações, uma vez que a diversidade cultural influencia a forma como as pessoas compreendem e comunicam conceitos, emoções e atitudes, exigindo a adaptação dos instrumentos para que sejam pertinentes e aceitos pela população-alvo. A adaptação adequada de uma escala possibilita obter dados mais precisos e confiáveis sobre culturas diversas, reduzindo vieses de seleção e permitindo pesquisas comparativas.</w:t>
      </w:r>
    </w:p>
    <w:p w14:paraId="23B623A1" w14:textId="77777777" w:rsidR="00EF4E78" w:rsidRPr="00CC6FA6" w:rsidRDefault="00EF4E78" w:rsidP="00765369">
      <w:pPr>
        <w:spacing w:line="360" w:lineRule="auto"/>
        <w:ind w:leftChars="0" w:left="0" w:firstLineChars="0" w:firstLine="720"/>
        <w:jc w:val="both"/>
        <w:rPr>
          <w:rFonts w:ascii="Times New Roman" w:eastAsia="Times New Roman" w:hAnsi="Times New Roman" w:cs="Times New Roman"/>
          <w:bCs/>
          <w:sz w:val="24"/>
          <w:szCs w:val="24"/>
        </w:rPr>
      </w:pPr>
      <w:r w:rsidRPr="00CC6FA6">
        <w:rPr>
          <w:rFonts w:ascii="Times New Roman" w:eastAsia="Times New Roman" w:hAnsi="Times New Roman" w:cs="Times New Roman"/>
          <w:bCs/>
          <w:sz w:val="24"/>
          <w:szCs w:val="24"/>
        </w:rPr>
        <w:t xml:space="preserve">Neste contexto, este trabalho consistiu em uma investigação transversal, exploratória e de natureza metodológica, com o objetivo de adaptar </w:t>
      </w:r>
      <w:proofErr w:type="spellStart"/>
      <w:r w:rsidRPr="00CC6FA6">
        <w:rPr>
          <w:rFonts w:ascii="Times New Roman" w:eastAsia="Times New Roman" w:hAnsi="Times New Roman" w:cs="Times New Roman"/>
          <w:bCs/>
          <w:sz w:val="24"/>
          <w:szCs w:val="24"/>
        </w:rPr>
        <w:t>transculturalmente</w:t>
      </w:r>
      <w:proofErr w:type="spellEnd"/>
      <w:r w:rsidRPr="00CC6FA6">
        <w:rPr>
          <w:rFonts w:ascii="Times New Roman" w:eastAsia="Times New Roman" w:hAnsi="Times New Roman" w:cs="Times New Roman"/>
          <w:bCs/>
          <w:sz w:val="24"/>
          <w:szCs w:val="24"/>
        </w:rPr>
        <w:t xml:space="preserve"> a Escala de </w:t>
      </w:r>
      <w:proofErr w:type="spellStart"/>
      <w:r w:rsidRPr="00CC6FA6">
        <w:rPr>
          <w:rFonts w:ascii="Times New Roman" w:eastAsia="Times New Roman" w:hAnsi="Times New Roman" w:cs="Times New Roman"/>
          <w:bCs/>
          <w:sz w:val="24"/>
          <w:szCs w:val="24"/>
        </w:rPr>
        <w:t>Identificación</w:t>
      </w:r>
      <w:proofErr w:type="spellEnd"/>
      <w:r w:rsidRPr="00CC6FA6">
        <w:rPr>
          <w:rFonts w:ascii="Times New Roman" w:eastAsia="Times New Roman" w:hAnsi="Times New Roman" w:cs="Times New Roman"/>
          <w:bCs/>
          <w:sz w:val="24"/>
          <w:szCs w:val="24"/>
        </w:rPr>
        <w:t xml:space="preserve"> de Estudiantes </w:t>
      </w:r>
      <w:proofErr w:type="spellStart"/>
      <w:r w:rsidRPr="00CC6FA6">
        <w:rPr>
          <w:rFonts w:ascii="Times New Roman" w:eastAsia="Times New Roman" w:hAnsi="Times New Roman" w:cs="Times New Roman"/>
          <w:bCs/>
          <w:sz w:val="24"/>
          <w:szCs w:val="24"/>
        </w:rPr>
        <w:t>Doblemente</w:t>
      </w:r>
      <w:proofErr w:type="spellEnd"/>
      <w:r w:rsidRPr="00CC6FA6">
        <w:rPr>
          <w:rFonts w:ascii="Times New Roman" w:eastAsia="Times New Roman" w:hAnsi="Times New Roman" w:cs="Times New Roman"/>
          <w:bCs/>
          <w:sz w:val="24"/>
          <w:szCs w:val="24"/>
        </w:rPr>
        <w:t xml:space="preserve"> </w:t>
      </w:r>
      <w:proofErr w:type="spellStart"/>
      <w:r w:rsidRPr="00CC6FA6">
        <w:rPr>
          <w:rFonts w:ascii="Times New Roman" w:eastAsia="Times New Roman" w:hAnsi="Times New Roman" w:cs="Times New Roman"/>
          <w:bCs/>
          <w:sz w:val="24"/>
          <w:szCs w:val="24"/>
        </w:rPr>
        <w:t>Excepcionales</w:t>
      </w:r>
      <w:proofErr w:type="spellEnd"/>
      <w:r w:rsidRPr="00CC6FA6">
        <w:rPr>
          <w:rFonts w:ascii="Times New Roman" w:eastAsia="Times New Roman" w:hAnsi="Times New Roman" w:cs="Times New Roman"/>
          <w:bCs/>
          <w:sz w:val="24"/>
          <w:szCs w:val="24"/>
        </w:rPr>
        <w:t xml:space="preserve"> – versão para professores.</w:t>
      </w:r>
    </w:p>
    <w:p w14:paraId="54B8B6BA" w14:textId="77777777" w:rsidR="00765369" w:rsidRDefault="00765369" w:rsidP="00EF4E78">
      <w:pPr>
        <w:spacing w:line="360" w:lineRule="auto"/>
        <w:ind w:left="0" w:hanging="2"/>
        <w:jc w:val="both"/>
        <w:rPr>
          <w:rFonts w:ascii="Times New Roman" w:eastAsia="Times New Roman" w:hAnsi="Times New Roman" w:cs="Times New Roman"/>
          <w:b/>
          <w:sz w:val="24"/>
          <w:szCs w:val="24"/>
          <w:lang w:val="es-419"/>
        </w:rPr>
      </w:pPr>
    </w:p>
    <w:p w14:paraId="0E720F42" w14:textId="20040175" w:rsidR="00EF4E78" w:rsidRPr="00C820AA" w:rsidRDefault="00EF4E78" w:rsidP="00EF4E78">
      <w:pPr>
        <w:spacing w:line="360" w:lineRule="auto"/>
        <w:ind w:left="0" w:hanging="2"/>
        <w:jc w:val="both"/>
        <w:rPr>
          <w:rFonts w:ascii="Times New Roman" w:eastAsia="Times New Roman" w:hAnsi="Times New Roman" w:cs="Times New Roman"/>
          <w:b/>
          <w:sz w:val="24"/>
          <w:szCs w:val="24"/>
          <w:lang w:val="es-419"/>
        </w:rPr>
      </w:pPr>
      <w:r w:rsidRPr="00C820AA">
        <w:rPr>
          <w:rFonts w:ascii="Times New Roman" w:eastAsia="Times New Roman" w:hAnsi="Times New Roman" w:cs="Times New Roman"/>
          <w:b/>
          <w:sz w:val="24"/>
          <w:szCs w:val="24"/>
          <w:lang w:val="es-419"/>
        </w:rPr>
        <w:t xml:space="preserve">1. Referencial teórico </w:t>
      </w:r>
    </w:p>
    <w:p w14:paraId="48C012EB" w14:textId="77777777" w:rsidR="00EF4E78" w:rsidRPr="00160A99" w:rsidRDefault="00EF4E78" w:rsidP="00765369">
      <w:pPr>
        <w:spacing w:line="360" w:lineRule="auto"/>
        <w:ind w:leftChars="0" w:left="0" w:firstLineChars="0" w:firstLine="720"/>
        <w:jc w:val="both"/>
        <w:rPr>
          <w:rFonts w:ascii="Times New Roman" w:eastAsia="Times New Roman" w:hAnsi="Times New Roman" w:cs="Times New Roman"/>
          <w:bCs/>
          <w:sz w:val="24"/>
          <w:szCs w:val="24"/>
        </w:rPr>
      </w:pPr>
      <w:r w:rsidRPr="00C820AA">
        <w:rPr>
          <w:rFonts w:ascii="Times New Roman" w:eastAsia="Times New Roman" w:hAnsi="Times New Roman" w:cs="Times New Roman"/>
          <w:bCs/>
          <w:sz w:val="24"/>
          <w:szCs w:val="24"/>
          <w:lang w:val="es-419"/>
        </w:rPr>
        <w:t xml:space="preserve">Segundo Beaton </w:t>
      </w:r>
      <w:r w:rsidRPr="00C820AA">
        <w:rPr>
          <w:rFonts w:ascii="Times New Roman" w:eastAsia="Times New Roman" w:hAnsi="Times New Roman" w:cs="Times New Roman"/>
          <w:bCs/>
          <w:i/>
          <w:iCs/>
          <w:sz w:val="24"/>
          <w:szCs w:val="24"/>
          <w:lang w:val="es-419"/>
        </w:rPr>
        <w:t>et al.</w:t>
      </w:r>
      <w:r w:rsidRPr="00C820AA">
        <w:rPr>
          <w:rFonts w:ascii="Times New Roman" w:eastAsia="Times New Roman" w:hAnsi="Times New Roman" w:cs="Times New Roman"/>
          <w:bCs/>
          <w:sz w:val="24"/>
          <w:szCs w:val="24"/>
          <w:lang w:val="es-419"/>
        </w:rPr>
        <w:t xml:space="preserve"> </w:t>
      </w:r>
      <w:r w:rsidRPr="00160A99">
        <w:rPr>
          <w:rFonts w:ascii="Times New Roman" w:eastAsia="Times New Roman" w:hAnsi="Times New Roman" w:cs="Times New Roman"/>
          <w:bCs/>
          <w:sz w:val="24"/>
          <w:szCs w:val="24"/>
        </w:rPr>
        <w:t xml:space="preserve">(2000), há consenso de que essa é a melhor maneira de obter medidas equivalentes em estudos transnacionais e evitar amostras que prejudiquem indivíduos incapazes de preencher o instrumento devido </w:t>
      </w:r>
      <w:proofErr w:type="spellStart"/>
      <w:r w:rsidRPr="00160A99">
        <w:rPr>
          <w:rFonts w:ascii="Times New Roman" w:eastAsia="Times New Roman" w:hAnsi="Times New Roman" w:cs="Times New Roman"/>
          <w:bCs/>
          <w:sz w:val="24"/>
          <w:szCs w:val="24"/>
        </w:rPr>
        <w:t>a</w:t>
      </w:r>
      <w:proofErr w:type="spellEnd"/>
      <w:r w:rsidRPr="00160A99">
        <w:rPr>
          <w:rFonts w:ascii="Times New Roman" w:eastAsia="Times New Roman" w:hAnsi="Times New Roman" w:cs="Times New Roman"/>
          <w:bCs/>
          <w:sz w:val="24"/>
          <w:szCs w:val="24"/>
        </w:rPr>
        <w:t xml:space="preserve"> limitações linguísticas e culturais. Hutchinson, </w:t>
      </w:r>
      <w:proofErr w:type="spellStart"/>
      <w:r w:rsidRPr="00160A99">
        <w:rPr>
          <w:rFonts w:ascii="Times New Roman" w:eastAsia="Times New Roman" w:hAnsi="Times New Roman" w:cs="Times New Roman"/>
          <w:bCs/>
          <w:sz w:val="24"/>
          <w:szCs w:val="24"/>
        </w:rPr>
        <w:t>Bentzen</w:t>
      </w:r>
      <w:proofErr w:type="spellEnd"/>
      <w:r w:rsidRPr="00160A99">
        <w:rPr>
          <w:rFonts w:ascii="Times New Roman" w:eastAsia="Times New Roman" w:hAnsi="Times New Roman" w:cs="Times New Roman"/>
          <w:bCs/>
          <w:sz w:val="24"/>
          <w:szCs w:val="24"/>
        </w:rPr>
        <w:t xml:space="preserve"> e Konig-</w:t>
      </w:r>
      <w:proofErr w:type="spellStart"/>
      <w:r w:rsidRPr="00160A99">
        <w:rPr>
          <w:rFonts w:ascii="Times New Roman" w:eastAsia="Times New Roman" w:hAnsi="Times New Roman" w:cs="Times New Roman"/>
          <w:bCs/>
          <w:sz w:val="24"/>
          <w:szCs w:val="24"/>
        </w:rPr>
        <w:t>Zanhn</w:t>
      </w:r>
      <w:proofErr w:type="spellEnd"/>
      <w:r w:rsidRPr="00160A99">
        <w:rPr>
          <w:rFonts w:ascii="Times New Roman" w:eastAsia="Times New Roman" w:hAnsi="Times New Roman" w:cs="Times New Roman"/>
          <w:bCs/>
          <w:sz w:val="24"/>
          <w:szCs w:val="24"/>
        </w:rPr>
        <w:t xml:space="preserve"> (1996) sugerem que, para a adaptação transcultural, é necessário um comitê multidisciplinar, composto por bilíngues e especialistas no construto a ser avaliado, divididos nos procedimentos de tradução, </w:t>
      </w:r>
      <w:proofErr w:type="spellStart"/>
      <w:r w:rsidRPr="00160A99">
        <w:rPr>
          <w:rFonts w:ascii="Times New Roman" w:eastAsia="Times New Roman" w:hAnsi="Times New Roman" w:cs="Times New Roman"/>
          <w:bCs/>
          <w:sz w:val="24"/>
          <w:szCs w:val="24"/>
        </w:rPr>
        <w:t>retrotradução</w:t>
      </w:r>
      <w:proofErr w:type="spellEnd"/>
      <w:r w:rsidRPr="00160A99">
        <w:rPr>
          <w:rFonts w:ascii="Times New Roman" w:eastAsia="Times New Roman" w:hAnsi="Times New Roman" w:cs="Times New Roman"/>
          <w:bCs/>
          <w:sz w:val="24"/>
          <w:szCs w:val="24"/>
        </w:rPr>
        <w:t>, adequação semântica e análise de conteúdo.</w:t>
      </w:r>
    </w:p>
    <w:p w14:paraId="0BA2A734" w14:textId="77777777" w:rsidR="00EF4E78" w:rsidRPr="00160A99" w:rsidRDefault="00EF4E78" w:rsidP="00765369">
      <w:pPr>
        <w:spacing w:line="360" w:lineRule="auto"/>
        <w:ind w:leftChars="0" w:left="0" w:firstLineChars="0" w:firstLine="720"/>
        <w:jc w:val="both"/>
        <w:rPr>
          <w:rFonts w:ascii="Times New Roman" w:eastAsia="Times New Roman" w:hAnsi="Times New Roman" w:cs="Times New Roman"/>
          <w:bCs/>
          <w:sz w:val="24"/>
          <w:szCs w:val="24"/>
        </w:rPr>
      </w:pPr>
      <w:r w:rsidRPr="00160A99">
        <w:rPr>
          <w:rFonts w:ascii="Times New Roman" w:eastAsia="Times New Roman" w:hAnsi="Times New Roman" w:cs="Times New Roman"/>
          <w:bCs/>
          <w:sz w:val="24"/>
          <w:szCs w:val="24"/>
        </w:rPr>
        <w:t xml:space="preserve">A abordagem utilizada nesta pesquisa possibilitou a adaptação do instrumento às especificidades do país, considerando suas particularidades e necessidades, tornando-o mais efetivo e adequado à realidade local. Para isso, foram levados em conta aspectos linguísticos, </w:t>
      </w:r>
      <w:r w:rsidRPr="00160A99">
        <w:rPr>
          <w:rFonts w:ascii="Times New Roman" w:eastAsia="Times New Roman" w:hAnsi="Times New Roman" w:cs="Times New Roman"/>
          <w:bCs/>
          <w:sz w:val="24"/>
          <w:szCs w:val="24"/>
        </w:rPr>
        <w:lastRenderedPageBreak/>
        <w:t>semânticos e conceituais que poderiam influenciar os resultados da avaliação. A transculturação é, portanto, uma estratégia essencial para garantir a validade e a confiabilidade dos instrumentos de coleta de dados, contribuindo para a construção de uma educação mais inclusiva, além de evitar resultados imprecisos ou enviesados, pois os indivíduos podem não compreender as perguntas como foram pensadas pelos pesquisadores ou ter dificuldades em escolher as opções apresentadas.</w:t>
      </w:r>
    </w:p>
    <w:p w14:paraId="79F52398" w14:textId="73BC4166" w:rsidR="00EF4E78" w:rsidRPr="00160A99" w:rsidRDefault="00EF4E78" w:rsidP="00765369">
      <w:pPr>
        <w:spacing w:line="360" w:lineRule="auto"/>
        <w:ind w:leftChars="0" w:left="0" w:firstLineChars="0" w:firstLine="720"/>
        <w:jc w:val="both"/>
        <w:rPr>
          <w:rFonts w:ascii="Times New Roman" w:eastAsia="Times New Roman" w:hAnsi="Times New Roman" w:cs="Times New Roman"/>
          <w:bCs/>
        </w:rPr>
      </w:pPr>
      <w:r w:rsidRPr="00160A99">
        <w:rPr>
          <w:rFonts w:ascii="Times New Roman" w:eastAsia="Times New Roman" w:hAnsi="Times New Roman" w:cs="Times New Roman"/>
          <w:bCs/>
          <w:sz w:val="24"/>
          <w:szCs w:val="24"/>
        </w:rPr>
        <w:t>A Dupla Excepcionalidade pode ser definida pela coexistência de alta performance, habilidade, talento ou potencial junto a alguma desordem psiquiátrica, neurológica, comportamental, sensorial, física ou educacional (Pfeiffer, 2013). Este estudo abordou especificamente a associação entre Superdotação e Transtorno de Déficit de Atenção/Hiperatividade (TDAH), destacando a ausência de instrumentos que identifiquem a dupla excepcionalidade no contexto nacional, o que justifica a importância da adaptação deste instrumento para o Brasil</w:t>
      </w:r>
      <w:r w:rsidR="00765369">
        <w:rPr>
          <w:rFonts w:ascii="Times New Roman" w:eastAsia="Times New Roman" w:hAnsi="Times New Roman" w:cs="Times New Roman"/>
          <w:bCs/>
          <w:sz w:val="24"/>
          <w:szCs w:val="24"/>
        </w:rPr>
        <w:t>.</w:t>
      </w:r>
      <w:r w:rsidRPr="00160A99">
        <w:rPr>
          <w:rFonts w:ascii="Times New Roman" w:eastAsia="Times New Roman" w:hAnsi="Times New Roman" w:cs="Times New Roman"/>
          <w:bCs/>
        </w:rPr>
        <w:t xml:space="preserve">                          </w:t>
      </w:r>
    </w:p>
    <w:p w14:paraId="4C6376C7" w14:textId="77777777" w:rsidR="00EF4E78" w:rsidRPr="00160A99" w:rsidRDefault="00EF4E78" w:rsidP="00EF4E78">
      <w:pPr>
        <w:spacing w:line="360" w:lineRule="auto"/>
        <w:ind w:left="0" w:hanging="2"/>
        <w:jc w:val="both"/>
        <w:rPr>
          <w:rFonts w:ascii="Times New Roman" w:eastAsia="Times New Roman" w:hAnsi="Times New Roman" w:cs="Times New Roman"/>
          <w:b/>
          <w:sz w:val="24"/>
          <w:szCs w:val="24"/>
        </w:rPr>
      </w:pPr>
      <w:r w:rsidRPr="00160A99">
        <w:rPr>
          <w:rFonts w:ascii="Times New Roman" w:eastAsia="Times New Roman" w:hAnsi="Times New Roman" w:cs="Times New Roman"/>
          <w:b/>
          <w:sz w:val="24"/>
          <w:szCs w:val="24"/>
        </w:rPr>
        <w:t>2. Metodologia</w:t>
      </w:r>
    </w:p>
    <w:p w14:paraId="1ED0942D" w14:textId="7990A88C" w:rsidR="00EF4E78" w:rsidRPr="00765369" w:rsidRDefault="00765369" w:rsidP="00765369">
      <w:pPr>
        <w:pStyle w:val="CorpoartigoTeias"/>
        <w:ind w:left="720"/>
      </w:pPr>
      <w:r>
        <w:tab/>
        <w:t xml:space="preserve">   </w:t>
      </w:r>
      <w:r w:rsidR="00EF4E78" w:rsidRPr="00765369">
        <w:t xml:space="preserve">Todos os aspectos éticos foram respeitados. O projeto foi submetido ao Comitê de Ética em Pesquisa da FFC/UNESP, obtendo parecer favorável em 22/02/2023, sob o </w:t>
      </w:r>
      <w:proofErr w:type="gramStart"/>
      <w:r w:rsidR="00EF4E78" w:rsidRPr="00765369">
        <w:t xml:space="preserve">número </w:t>
      </w:r>
      <w:r w:rsidRPr="00765369">
        <w:t xml:space="preserve"> 66989622.1.0000.5406.</w:t>
      </w:r>
      <w:proofErr w:type="gramEnd"/>
      <w:r w:rsidR="00EF4E78" w:rsidRPr="00765369">
        <w:t xml:space="preserve"> O contato com os autores do instrumento original foi realizado para solicitar autorização para tradução e validação no contexto brasileiro, sendo a autorização concedida, conforme sugerido por Wild </w:t>
      </w:r>
      <w:r w:rsidR="00EF4E78" w:rsidRPr="00765369">
        <w:rPr>
          <w:i/>
          <w:iCs/>
        </w:rPr>
        <w:t>et al.</w:t>
      </w:r>
      <w:r w:rsidR="00EF4E78" w:rsidRPr="00765369">
        <w:t xml:space="preserve"> (2005).</w:t>
      </w:r>
    </w:p>
    <w:p w14:paraId="42D13AB2" w14:textId="77777777" w:rsidR="00EF4E78" w:rsidRPr="00160A99" w:rsidRDefault="00EF4E78" w:rsidP="00EF4E78">
      <w:pPr>
        <w:spacing w:line="360" w:lineRule="auto"/>
        <w:ind w:left="0" w:hanging="2"/>
        <w:jc w:val="both"/>
        <w:rPr>
          <w:rFonts w:ascii="Times New Roman" w:hAnsi="Times New Roman" w:cs="Times New Roman"/>
          <w:sz w:val="24"/>
          <w:szCs w:val="24"/>
        </w:rPr>
      </w:pPr>
      <w:r w:rsidRPr="00160A99">
        <w:rPr>
          <w:rFonts w:ascii="Times New Roman" w:hAnsi="Times New Roman" w:cs="Times New Roman"/>
          <w:sz w:val="24"/>
          <w:szCs w:val="24"/>
        </w:rPr>
        <w:t>Participantes</w:t>
      </w:r>
    </w:p>
    <w:p w14:paraId="6FC588EA" w14:textId="77777777" w:rsidR="00EF4E78" w:rsidRPr="00160A99" w:rsidRDefault="00EF4E78" w:rsidP="00EF4E78">
      <w:pPr>
        <w:spacing w:line="360" w:lineRule="auto"/>
        <w:ind w:left="0" w:hanging="2"/>
        <w:jc w:val="both"/>
        <w:rPr>
          <w:rFonts w:ascii="Times New Roman" w:hAnsi="Times New Roman" w:cs="Times New Roman"/>
          <w:sz w:val="24"/>
          <w:szCs w:val="24"/>
        </w:rPr>
      </w:pPr>
      <w:r w:rsidRPr="00160A99">
        <w:rPr>
          <w:rFonts w:ascii="Times New Roman" w:hAnsi="Times New Roman" w:cs="Times New Roman"/>
          <w:sz w:val="24"/>
          <w:szCs w:val="24"/>
        </w:rPr>
        <w:t>Os participantes do estudo estão dispostos no Quadro 1.</w:t>
      </w:r>
    </w:p>
    <w:p w14:paraId="08227970" w14:textId="77777777" w:rsidR="00EF4E78" w:rsidRPr="00451E72" w:rsidRDefault="00EF4E78" w:rsidP="00EF4E78">
      <w:pPr>
        <w:spacing w:line="360" w:lineRule="auto"/>
        <w:ind w:left="0" w:hanging="2"/>
        <w:jc w:val="center"/>
        <w:rPr>
          <w:rFonts w:ascii="Times New Roman" w:hAnsi="Times New Roman" w:cs="Times New Roman"/>
        </w:rPr>
      </w:pPr>
      <w:r>
        <w:rPr>
          <w:rFonts w:ascii="Times New Roman" w:hAnsi="Times New Roman" w:cs="Times New Roman"/>
          <w:b/>
          <w:bCs/>
        </w:rPr>
        <w:t>QUADRO</w:t>
      </w:r>
      <w:r w:rsidRPr="00451E72">
        <w:rPr>
          <w:rFonts w:ascii="Times New Roman" w:hAnsi="Times New Roman" w:cs="Times New Roman"/>
          <w:b/>
          <w:bCs/>
        </w:rPr>
        <w:t xml:space="preserve"> 1</w:t>
      </w:r>
      <w:r w:rsidRPr="00451E72">
        <w:rPr>
          <w:rFonts w:ascii="Times New Roman" w:eastAsia="Times New Roman" w:hAnsi="Times New Roman" w:cs="Times New Roman"/>
        </w:rPr>
        <w:t>–</w:t>
      </w:r>
      <w:r w:rsidRPr="00451E72">
        <w:rPr>
          <w:rFonts w:ascii="Times New Roman" w:hAnsi="Times New Roman" w:cs="Times New Roman"/>
          <w:b/>
          <w:bCs/>
        </w:rPr>
        <w:t xml:space="preserve"> </w:t>
      </w:r>
      <w:r w:rsidRPr="00451E72">
        <w:rPr>
          <w:rFonts w:ascii="Times New Roman" w:hAnsi="Times New Roman" w:cs="Times New Roman"/>
        </w:rPr>
        <w:t>Etapa, quantidade e critérios de inclusão dos participantes</w:t>
      </w:r>
    </w:p>
    <w:tbl>
      <w:tblPr>
        <w:tblStyle w:val="Tabelacomgrade"/>
        <w:tblW w:w="8784" w:type="dxa"/>
        <w:jc w:val="center"/>
        <w:tblLook w:val="04A0" w:firstRow="1" w:lastRow="0" w:firstColumn="1" w:lastColumn="0" w:noHBand="0" w:noVBand="1"/>
      </w:tblPr>
      <w:tblGrid>
        <w:gridCol w:w="2109"/>
        <w:gridCol w:w="1427"/>
        <w:gridCol w:w="5248"/>
      </w:tblGrid>
      <w:tr w:rsidR="00EF4E78" w:rsidRPr="00451E72" w14:paraId="0F792460" w14:textId="77777777">
        <w:trPr>
          <w:jc w:val="center"/>
        </w:trPr>
        <w:tc>
          <w:tcPr>
            <w:tcW w:w="2109" w:type="dxa"/>
            <w:vAlign w:val="center"/>
          </w:tcPr>
          <w:p w14:paraId="2D997E0D"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Etapa</w:t>
            </w:r>
          </w:p>
        </w:tc>
        <w:tc>
          <w:tcPr>
            <w:tcW w:w="1427" w:type="dxa"/>
            <w:vAlign w:val="center"/>
          </w:tcPr>
          <w:p w14:paraId="748593AF"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Quantidade</w:t>
            </w:r>
          </w:p>
        </w:tc>
        <w:tc>
          <w:tcPr>
            <w:tcW w:w="5248" w:type="dxa"/>
            <w:vAlign w:val="center"/>
          </w:tcPr>
          <w:p w14:paraId="437F8E0B"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Critérios de inclusão</w:t>
            </w:r>
          </w:p>
        </w:tc>
      </w:tr>
      <w:tr w:rsidR="00EF4E78" w:rsidRPr="00451E72" w14:paraId="1615AD73" w14:textId="77777777">
        <w:trPr>
          <w:jc w:val="center"/>
        </w:trPr>
        <w:tc>
          <w:tcPr>
            <w:tcW w:w="2109" w:type="dxa"/>
            <w:vAlign w:val="center"/>
          </w:tcPr>
          <w:p w14:paraId="35752B53"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 xml:space="preserve">Tradução </w:t>
            </w:r>
          </w:p>
          <w:p w14:paraId="6B0BEEAF"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espanhol–português</w:t>
            </w:r>
          </w:p>
        </w:tc>
        <w:tc>
          <w:tcPr>
            <w:tcW w:w="1427" w:type="dxa"/>
            <w:vAlign w:val="center"/>
          </w:tcPr>
          <w:p w14:paraId="43D0A01E"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02</w:t>
            </w:r>
          </w:p>
        </w:tc>
        <w:tc>
          <w:tcPr>
            <w:tcW w:w="5248" w:type="dxa"/>
            <w:vAlign w:val="center"/>
          </w:tcPr>
          <w:p w14:paraId="359B7225"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Tradutor juramentado em espanhol-português, nativo da língua-alvo da tradução.</w:t>
            </w:r>
          </w:p>
          <w:p w14:paraId="2776C7B7"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Doutora em Educação, que realiza pesquisas na área da Superdotação.</w:t>
            </w:r>
          </w:p>
          <w:p w14:paraId="12D87BE5"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xml:space="preserve">Fluentes em espanhol e em português. </w:t>
            </w:r>
          </w:p>
        </w:tc>
      </w:tr>
      <w:tr w:rsidR="00EF4E78" w:rsidRPr="00451E72" w14:paraId="2A093720" w14:textId="77777777">
        <w:trPr>
          <w:jc w:val="center"/>
        </w:trPr>
        <w:tc>
          <w:tcPr>
            <w:tcW w:w="2109" w:type="dxa"/>
            <w:vAlign w:val="center"/>
          </w:tcPr>
          <w:p w14:paraId="58ABE387" w14:textId="77777777" w:rsidR="00EF4E78" w:rsidRPr="00451E72" w:rsidRDefault="00EF4E78">
            <w:pPr>
              <w:spacing w:line="360" w:lineRule="auto"/>
              <w:ind w:left="0" w:hanging="2"/>
              <w:jc w:val="center"/>
              <w:rPr>
                <w:rFonts w:ascii="Times New Roman" w:eastAsia="Calibri" w:hAnsi="Times New Roman" w:cs="Times New Roman"/>
              </w:rPr>
            </w:pPr>
            <w:proofErr w:type="spellStart"/>
            <w:r w:rsidRPr="00451E72">
              <w:rPr>
                <w:rFonts w:ascii="Times New Roman" w:eastAsia="Calibri" w:hAnsi="Times New Roman" w:cs="Times New Roman"/>
              </w:rPr>
              <w:t>Retrotradução</w:t>
            </w:r>
            <w:proofErr w:type="spellEnd"/>
            <w:r w:rsidRPr="00451E72">
              <w:rPr>
                <w:rFonts w:ascii="Times New Roman" w:eastAsia="Calibri" w:hAnsi="Times New Roman" w:cs="Times New Roman"/>
              </w:rPr>
              <w:t xml:space="preserve"> português–espanhol</w:t>
            </w:r>
          </w:p>
        </w:tc>
        <w:tc>
          <w:tcPr>
            <w:tcW w:w="1427" w:type="dxa"/>
            <w:vAlign w:val="center"/>
          </w:tcPr>
          <w:p w14:paraId="55448836"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02</w:t>
            </w:r>
          </w:p>
        </w:tc>
        <w:tc>
          <w:tcPr>
            <w:tcW w:w="5248" w:type="dxa"/>
            <w:vAlign w:val="center"/>
          </w:tcPr>
          <w:p w14:paraId="412A551C"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Tradutor juramentado em espanhol-português, nativo da língua-alvo da tradução.</w:t>
            </w:r>
          </w:p>
          <w:p w14:paraId="100FF6AE"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lastRenderedPageBreak/>
              <w:t xml:space="preserve">- Doutora em Educação, que realiza pesquisas na área da Superdotação. </w:t>
            </w:r>
          </w:p>
          <w:p w14:paraId="4F772D14"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Fluentes em espanhol e em português, diferentes da primeira etapa.</w:t>
            </w:r>
          </w:p>
        </w:tc>
      </w:tr>
      <w:tr w:rsidR="00EF4E78" w:rsidRPr="00451E72" w14:paraId="39F77177" w14:textId="77777777">
        <w:trPr>
          <w:jc w:val="center"/>
        </w:trPr>
        <w:tc>
          <w:tcPr>
            <w:tcW w:w="2109" w:type="dxa"/>
            <w:vAlign w:val="center"/>
          </w:tcPr>
          <w:p w14:paraId="3E949ED1"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lastRenderedPageBreak/>
              <w:t>Adequação semântica</w:t>
            </w:r>
          </w:p>
        </w:tc>
        <w:tc>
          <w:tcPr>
            <w:tcW w:w="1427" w:type="dxa"/>
            <w:vAlign w:val="center"/>
          </w:tcPr>
          <w:p w14:paraId="669D89BF"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05</w:t>
            </w:r>
          </w:p>
        </w:tc>
        <w:tc>
          <w:tcPr>
            <w:tcW w:w="5248" w:type="dxa"/>
            <w:vAlign w:val="center"/>
          </w:tcPr>
          <w:p w14:paraId="44BA4BB6"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Comitê de especialistas formado por Doutoras, com experiência em adaptação e validação de instrumentos.</w:t>
            </w:r>
          </w:p>
        </w:tc>
      </w:tr>
      <w:tr w:rsidR="00EF4E78" w:rsidRPr="00451E72" w14:paraId="30CD33DD" w14:textId="77777777">
        <w:trPr>
          <w:jc w:val="center"/>
        </w:trPr>
        <w:tc>
          <w:tcPr>
            <w:tcW w:w="2109" w:type="dxa"/>
            <w:vAlign w:val="center"/>
          </w:tcPr>
          <w:p w14:paraId="64C8AEBB"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Adequação conceitual</w:t>
            </w:r>
          </w:p>
        </w:tc>
        <w:tc>
          <w:tcPr>
            <w:tcW w:w="1427" w:type="dxa"/>
            <w:vAlign w:val="center"/>
          </w:tcPr>
          <w:p w14:paraId="01E4273C"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03</w:t>
            </w:r>
          </w:p>
        </w:tc>
        <w:tc>
          <w:tcPr>
            <w:tcW w:w="5248" w:type="dxa"/>
            <w:vAlign w:val="center"/>
          </w:tcPr>
          <w:p w14:paraId="28C1E078"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xml:space="preserve">Comitê de especialistas formado por Doutoras, pesquisadoras da temática da Superdotação. </w:t>
            </w:r>
          </w:p>
        </w:tc>
      </w:tr>
      <w:tr w:rsidR="00EF4E78" w:rsidRPr="00451E72" w14:paraId="3F0F1AD2" w14:textId="77777777">
        <w:trPr>
          <w:jc w:val="center"/>
        </w:trPr>
        <w:tc>
          <w:tcPr>
            <w:tcW w:w="2109" w:type="dxa"/>
            <w:vAlign w:val="center"/>
          </w:tcPr>
          <w:p w14:paraId="4B4B6EB7"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Harmonização</w:t>
            </w:r>
          </w:p>
        </w:tc>
        <w:tc>
          <w:tcPr>
            <w:tcW w:w="1427" w:type="dxa"/>
            <w:vAlign w:val="center"/>
          </w:tcPr>
          <w:p w14:paraId="27E33C9F"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06</w:t>
            </w:r>
          </w:p>
        </w:tc>
        <w:tc>
          <w:tcPr>
            <w:tcW w:w="5248" w:type="dxa"/>
            <w:vAlign w:val="center"/>
          </w:tcPr>
          <w:p w14:paraId="539966F1"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xml:space="preserve">Comitê de especialistas formado por Doutores, membros do Grupo de pesquisas “Diferença, desvio e estigma”. </w:t>
            </w:r>
          </w:p>
        </w:tc>
      </w:tr>
    </w:tbl>
    <w:p w14:paraId="4184BA03" w14:textId="77777777" w:rsidR="00EF4E78" w:rsidRPr="007B5652" w:rsidRDefault="00EF4E78" w:rsidP="00EF4E78">
      <w:pPr>
        <w:spacing w:line="360" w:lineRule="auto"/>
        <w:ind w:left="0" w:hanging="2"/>
        <w:jc w:val="center"/>
        <w:rPr>
          <w:rFonts w:ascii="Times New Roman" w:hAnsi="Times New Roman" w:cs="Times New Roman"/>
        </w:rPr>
      </w:pPr>
      <w:r w:rsidRPr="007B5652">
        <w:rPr>
          <w:rFonts w:ascii="Times New Roman" w:hAnsi="Times New Roman" w:cs="Times New Roman"/>
        </w:rPr>
        <w:t>Fonte: elaboração própria, 2025.</w:t>
      </w:r>
    </w:p>
    <w:p w14:paraId="1BE0E91F"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Vale destacar que os especialistas são avaliadores do processo de adaptação dos itens e realizam sugestões, mas não têm autonomia para excluir ou inserir novos itens. </w:t>
      </w:r>
    </w:p>
    <w:p w14:paraId="1E5C108C"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b/>
          <w:bCs/>
          <w:sz w:val="24"/>
          <w:szCs w:val="24"/>
        </w:rPr>
        <w:t>Material</w:t>
      </w:r>
      <w:r w:rsidRPr="00451E72">
        <w:rPr>
          <w:rFonts w:ascii="Times New Roman" w:hAnsi="Times New Roman" w:cs="Times New Roman"/>
          <w:sz w:val="24"/>
          <w:szCs w:val="24"/>
        </w:rPr>
        <w:t xml:space="preserve"> </w:t>
      </w:r>
    </w:p>
    <w:p w14:paraId="4CF38CDF"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O instrumento original – Escala de </w:t>
      </w:r>
      <w:proofErr w:type="spellStart"/>
      <w:r w:rsidRPr="00451E72">
        <w:rPr>
          <w:rFonts w:ascii="Times New Roman" w:hAnsi="Times New Roman" w:cs="Times New Roman"/>
          <w:sz w:val="24"/>
          <w:szCs w:val="24"/>
        </w:rPr>
        <w:t>Identificación</w:t>
      </w:r>
      <w:proofErr w:type="spellEnd"/>
      <w:r w:rsidRPr="00451E72">
        <w:rPr>
          <w:rFonts w:ascii="Times New Roman" w:hAnsi="Times New Roman" w:cs="Times New Roman"/>
          <w:sz w:val="24"/>
          <w:szCs w:val="24"/>
        </w:rPr>
        <w:t xml:space="preserve"> de Estudiantes </w:t>
      </w:r>
      <w:proofErr w:type="spellStart"/>
      <w:r w:rsidRPr="00451E72">
        <w:rPr>
          <w:rFonts w:ascii="Times New Roman" w:hAnsi="Times New Roman" w:cs="Times New Roman"/>
          <w:sz w:val="24"/>
          <w:szCs w:val="24"/>
        </w:rPr>
        <w:t>Doblemente</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Excepcionales</w:t>
      </w:r>
      <w:proofErr w:type="spellEnd"/>
      <w:r w:rsidRPr="00451E72">
        <w:rPr>
          <w:rFonts w:ascii="Times New Roman" w:hAnsi="Times New Roman" w:cs="Times New Roman"/>
          <w:sz w:val="24"/>
          <w:szCs w:val="24"/>
        </w:rPr>
        <w:t xml:space="preserve"> – versão para professores, foi construído por pesquisadores renomados na área da Dupla Excepcionalidade, apresenta boas capacidades psicométricas e é validado para uso em contexto chileno, conforme o manual de aplicação que se refere ao estudo de validação por juízes (</w:t>
      </w:r>
      <w:proofErr w:type="spellStart"/>
      <w:r w:rsidRPr="00451E72">
        <w:rPr>
          <w:rFonts w:ascii="Times New Roman" w:hAnsi="Times New Roman" w:cs="Times New Roman"/>
          <w:sz w:val="24"/>
          <w:szCs w:val="24"/>
        </w:rPr>
        <w:t>Conejeros</w:t>
      </w:r>
      <w:proofErr w:type="spellEnd"/>
      <w:r w:rsidRPr="00451E72">
        <w:rPr>
          <w:rFonts w:ascii="Times New Roman" w:hAnsi="Times New Roman" w:cs="Times New Roman"/>
          <w:sz w:val="24"/>
          <w:szCs w:val="24"/>
        </w:rPr>
        <w:t xml:space="preserve">-Solar et al., 2018). A validação por juízes foi realizada após a definição inicial do construto, dos 43 itens e das quatro dimensões do instrumento pelo grupo de pesquisas “Alta </w:t>
      </w:r>
      <w:proofErr w:type="spellStart"/>
      <w:r w:rsidRPr="00451E72">
        <w:rPr>
          <w:rFonts w:ascii="Times New Roman" w:hAnsi="Times New Roman" w:cs="Times New Roman"/>
          <w:sz w:val="24"/>
          <w:szCs w:val="24"/>
        </w:rPr>
        <w:t>Capacidad</w:t>
      </w:r>
      <w:proofErr w:type="spellEnd"/>
      <w:r w:rsidRPr="00451E72">
        <w:rPr>
          <w:rFonts w:ascii="Times New Roman" w:hAnsi="Times New Roman" w:cs="Times New Roman"/>
          <w:sz w:val="24"/>
          <w:szCs w:val="24"/>
        </w:rPr>
        <w:t xml:space="preserve"> Chile”. A análise foi feita por 16 profissionais, doutores, chilenos e internacionais, com experiência na área da Dupla Excepcionalidade.</w:t>
      </w:r>
    </w:p>
    <w:p w14:paraId="367021D3"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Segundo o manual, o instrumento visa a efetivar uma avaliação rápida e precisa de estudantes com suspeita de Dupla Excepcionalidade – Superdotação e TDAH, sendo resultado do programa “</w:t>
      </w:r>
      <w:proofErr w:type="spellStart"/>
      <w:r w:rsidRPr="00451E72">
        <w:rPr>
          <w:rFonts w:ascii="Times New Roman" w:hAnsi="Times New Roman" w:cs="Times New Roman"/>
          <w:sz w:val="24"/>
          <w:szCs w:val="24"/>
        </w:rPr>
        <w:t>Niños</w:t>
      </w:r>
      <w:proofErr w:type="spellEnd"/>
      <w:r w:rsidRPr="00451E72">
        <w:rPr>
          <w:rFonts w:ascii="Times New Roman" w:hAnsi="Times New Roman" w:cs="Times New Roman"/>
          <w:sz w:val="24"/>
          <w:szCs w:val="24"/>
        </w:rPr>
        <w:t xml:space="preserve"> y </w:t>
      </w:r>
      <w:proofErr w:type="spellStart"/>
      <w:r w:rsidRPr="00451E72">
        <w:rPr>
          <w:rFonts w:ascii="Times New Roman" w:hAnsi="Times New Roman" w:cs="Times New Roman"/>
          <w:sz w:val="24"/>
          <w:szCs w:val="24"/>
        </w:rPr>
        <w:t>Niñas</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Doblemente</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Excepcionales</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Identificación</w:t>
      </w:r>
      <w:proofErr w:type="spellEnd"/>
      <w:r w:rsidRPr="00451E72">
        <w:rPr>
          <w:rFonts w:ascii="Times New Roman" w:hAnsi="Times New Roman" w:cs="Times New Roman"/>
          <w:sz w:val="24"/>
          <w:szCs w:val="24"/>
        </w:rPr>
        <w:t xml:space="preserve"> y </w:t>
      </w:r>
      <w:proofErr w:type="spellStart"/>
      <w:r w:rsidRPr="00451E72">
        <w:rPr>
          <w:rFonts w:ascii="Times New Roman" w:hAnsi="Times New Roman" w:cs="Times New Roman"/>
          <w:sz w:val="24"/>
          <w:szCs w:val="24"/>
        </w:rPr>
        <w:t>Caracterización</w:t>
      </w:r>
      <w:proofErr w:type="spellEnd"/>
      <w:r w:rsidRPr="00451E72">
        <w:rPr>
          <w:rFonts w:ascii="Times New Roman" w:hAnsi="Times New Roman" w:cs="Times New Roman"/>
          <w:sz w:val="24"/>
          <w:szCs w:val="24"/>
        </w:rPr>
        <w:t xml:space="preserve"> en </w:t>
      </w:r>
      <w:proofErr w:type="spellStart"/>
      <w:r w:rsidRPr="00451E72">
        <w:rPr>
          <w:rFonts w:ascii="Times New Roman" w:hAnsi="Times New Roman" w:cs="Times New Roman"/>
          <w:sz w:val="24"/>
          <w:szCs w:val="24"/>
        </w:rPr>
        <w:t>los</w:t>
      </w:r>
      <w:proofErr w:type="spellEnd"/>
      <w:r w:rsidRPr="00451E72">
        <w:rPr>
          <w:rFonts w:ascii="Times New Roman" w:hAnsi="Times New Roman" w:cs="Times New Roman"/>
          <w:sz w:val="24"/>
          <w:szCs w:val="24"/>
        </w:rPr>
        <w:t xml:space="preserve"> Contextos Escolar y Familiar y Aportes para </w:t>
      </w:r>
      <w:proofErr w:type="spellStart"/>
      <w:r w:rsidRPr="00451E72">
        <w:rPr>
          <w:rFonts w:ascii="Times New Roman" w:hAnsi="Times New Roman" w:cs="Times New Roman"/>
          <w:sz w:val="24"/>
          <w:szCs w:val="24"/>
        </w:rPr>
        <w:t>su</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Atención</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Psicoeducativa</w:t>
      </w:r>
      <w:proofErr w:type="spellEnd"/>
      <w:r w:rsidRPr="00451E72">
        <w:rPr>
          <w:rFonts w:ascii="Times New Roman" w:hAnsi="Times New Roman" w:cs="Times New Roman"/>
          <w:sz w:val="24"/>
          <w:szCs w:val="24"/>
        </w:rPr>
        <w:t>”, desenvolvido pela Pontifícia Universidade Católica de Valparaíso em parceria com a Universidade de Los Andes (</w:t>
      </w:r>
      <w:proofErr w:type="spellStart"/>
      <w:r w:rsidRPr="00451E72">
        <w:rPr>
          <w:rFonts w:ascii="Times New Roman" w:hAnsi="Times New Roman" w:cs="Times New Roman"/>
          <w:sz w:val="24"/>
          <w:szCs w:val="24"/>
        </w:rPr>
        <w:t>Conejeros</w:t>
      </w:r>
      <w:proofErr w:type="spellEnd"/>
      <w:r w:rsidRPr="00451E72">
        <w:rPr>
          <w:rFonts w:ascii="Times New Roman" w:hAnsi="Times New Roman" w:cs="Times New Roman"/>
          <w:sz w:val="24"/>
          <w:szCs w:val="24"/>
        </w:rPr>
        <w:t>-Solar et al., 2018).</w:t>
      </w:r>
    </w:p>
    <w:p w14:paraId="06CE7B31"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O instrumento é composto por uma escala ordinal de frequência de comportamentos de quatro pontos: N = Nunca, O = Ocasionalmente, F = Frequentemente e S = Sempre. Divide-se em quatro fatores: 1) Dimensão acadêmica (oito itens), 2) Dimensão cognitiva (18 itens), 3) Dimensão emocional/comportamental (oito itens) e 4) Dimensão social (cinco itens), somando 39.</w:t>
      </w:r>
    </w:p>
    <w:p w14:paraId="3A58AA9E" w14:textId="77777777" w:rsidR="00EF4E78" w:rsidRPr="00451E72" w:rsidRDefault="00EF4E78" w:rsidP="00EF4E78">
      <w:pPr>
        <w:numPr>
          <w:ilvl w:val="0"/>
          <w:numId w:val="1"/>
        </w:numPr>
        <w:suppressAutoHyphens w:val="0"/>
        <w:spacing w:line="360" w:lineRule="auto"/>
        <w:ind w:leftChars="0" w:left="0" w:firstLineChars="0" w:hanging="2"/>
        <w:jc w:val="both"/>
        <w:textDirection w:val="lrTb"/>
        <w:textAlignment w:val="auto"/>
        <w:outlineLvl w:val="9"/>
        <w:rPr>
          <w:rFonts w:ascii="Times New Roman" w:hAnsi="Times New Roman" w:cs="Times New Roman"/>
          <w:sz w:val="24"/>
          <w:szCs w:val="24"/>
        </w:rPr>
      </w:pPr>
      <w:r w:rsidRPr="00451E72">
        <w:rPr>
          <w:rFonts w:ascii="Times New Roman" w:hAnsi="Times New Roman" w:cs="Times New Roman"/>
          <w:sz w:val="24"/>
          <w:szCs w:val="24"/>
        </w:rPr>
        <w:lastRenderedPageBreak/>
        <w:t>Dimensão acadêmica: características relacionadas ao desempenho do estudante – motivação, disciplina, responsabilidade, eficácia, etc., aspectos que influenciam e são necessários à aprendizagem escolar (Barrios; Frias, 2016).</w:t>
      </w:r>
    </w:p>
    <w:p w14:paraId="7696427E" w14:textId="77777777" w:rsidR="00EF4E78" w:rsidRPr="00451E72" w:rsidRDefault="00EF4E78" w:rsidP="00EF4E78">
      <w:pPr>
        <w:numPr>
          <w:ilvl w:val="0"/>
          <w:numId w:val="1"/>
        </w:numPr>
        <w:suppressAutoHyphens w:val="0"/>
        <w:spacing w:line="360" w:lineRule="auto"/>
        <w:ind w:leftChars="0" w:left="0" w:firstLineChars="0" w:hanging="2"/>
        <w:jc w:val="both"/>
        <w:textDirection w:val="lrTb"/>
        <w:textAlignment w:val="auto"/>
        <w:outlineLvl w:val="9"/>
        <w:rPr>
          <w:rFonts w:ascii="Times New Roman" w:hAnsi="Times New Roman" w:cs="Times New Roman"/>
          <w:sz w:val="24"/>
          <w:szCs w:val="24"/>
        </w:rPr>
      </w:pPr>
      <w:r w:rsidRPr="00451E72">
        <w:rPr>
          <w:rFonts w:ascii="Times New Roman" w:hAnsi="Times New Roman" w:cs="Times New Roman"/>
          <w:sz w:val="24"/>
          <w:szCs w:val="24"/>
        </w:rPr>
        <w:t xml:space="preserve">Dimensão cognitiva: habilidades intelectuais superiores em áreas do conhecimento, acadêmicas ou não, como artes (Blanco, 2001; </w:t>
      </w:r>
      <w:proofErr w:type="spellStart"/>
      <w:r w:rsidRPr="00451E72">
        <w:rPr>
          <w:rFonts w:ascii="Times New Roman" w:hAnsi="Times New Roman" w:cs="Times New Roman"/>
          <w:sz w:val="24"/>
          <w:szCs w:val="24"/>
        </w:rPr>
        <w:t>Berninger</w:t>
      </w:r>
      <w:proofErr w:type="spellEnd"/>
      <w:r w:rsidRPr="00451E72">
        <w:rPr>
          <w:rFonts w:ascii="Times New Roman" w:hAnsi="Times New Roman" w:cs="Times New Roman"/>
          <w:sz w:val="24"/>
          <w:szCs w:val="24"/>
        </w:rPr>
        <w:t>; Abbott, 2013).</w:t>
      </w:r>
    </w:p>
    <w:p w14:paraId="7D81C678" w14:textId="77777777" w:rsidR="00EF4E78" w:rsidRPr="00451E72" w:rsidRDefault="00EF4E78" w:rsidP="00EF4E78">
      <w:pPr>
        <w:numPr>
          <w:ilvl w:val="0"/>
          <w:numId w:val="1"/>
        </w:numPr>
        <w:suppressAutoHyphens w:val="0"/>
        <w:spacing w:line="360" w:lineRule="auto"/>
        <w:ind w:leftChars="0" w:left="0" w:firstLineChars="0" w:hanging="2"/>
        <w:jc w:val="both"/>
        <w:textDirection w:val="lrTb"/>
        <w:textAlignment w:val="auto"/>
        <w:outlineLvl w:val="9"/>
        <w:rPr>
          <w:rFonts w:ascii="Times New Roman" w:hAnsi="Times New Roman" w:cs="Times New Roman"/>
          <w:sz w:val="24"/>
          <w:szCs w:val="24"/>
        </w:rPr>
      </w:pPr>
      <w:r w:rsidRPr="00451E72">
        <w:rPr>
          <w:rFonts w:ascii="Times New Roman" w:hAnsi="Times New Roman" w:cs="Times New Roman"/>
          <w:sz w:val="24"/>
          <w:szCs w:val="24"/>
        </w:rPr>
        <w:t xml:space="preserve">Dimensão emocional/comportamental: sentimentos e emoções do estudante que influenciam seu desenvolvimento pessoal e o talento, com destaque para consciência de si, autocontrole, adaptabilidade e autovalorização (Landau, 2008; Martínez; Castelló, 2004; </w:t>
      </w:r>
      <w:proofErr w:type="spellStart"/>
      <w:r w:rsidRPr="00451E72">
        <w:rPr>
          <w:rFonts w:ascii="Times New Roman" w:hAnsi="Times New Roman" w:cs="Times New Roman"/>
          <w:sz w:val="24"/>
          <w:szCs w:val="24"/>
        </w:rPr>
        <w:t>Bisquerra</w:t>
      </w:r>
      <w:proofErr w:type="spellEnd"/>
      <w:r w:rsidRPr="00451E72">
        <w:rPr>
          <w:rFonts w:ascii="Times New Roman" w:hAnsi="Times New Roman" w:cs="Times New Roman"/>
          <w:sz w:val="24"/>
          <w:szCs w:val="24"/>
        </w:rPr>
        <w:t xml:space="preserve">; Pérez, 2007; Goleman; </w:t>
      </w:r>
      <w:proofErr w:type="spellStart"/>
      <w:r w:rsidRPr="00451E72">
        <w:rPr>
          <w:rFonts w:ascii="Times New Roman" w:hAnsi="Times New Roman" w:cs="Times New Roman"/>
          <w:sz w:val="24"/>
          <w:szCs w:val="24"/>
        </w:rPr>
        <w:t>Boyatzis</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Mckee</w:t>
      </w:r>
      <w:proofErr w:type="spellEnd"/>
      <w:r w:rsidRPr="00451E72">
        <w:rPr>
          <w:rFonts w:ascii="Times New Roman" w:hAnsi="Times New Roman" w:cs="Times New Roman"/>
          <w:sz w:val="24"/>
          <w:szCs w:val="24"/>
        </w:rPr>
        <w:t>, 2002).</w:t>
      </w:r>
    </w:p>
    <w:p w14:paraId="76A7DC9B" w14:textId="77777777" w:rsidR="00EF4E78" w:rsidRPr="00451E72" w:rsidRDefault="00EF4E78" w:rsidP="00EF4E78">
      <w:pPr>
        <w:numPr>
          <w:ilvl w:val="0"/>
          <w:numId w:val="1"/>
        </w:numPr>
        <w:suppressAutoHyphens w:val="0"/>
        <w:spacing w:line="360" w:lineRule="auto"/>
        <w:ind w:leftChars="0" w:left="0" w:firstLineChars="0" w:hanging="2"/>
        <w:jc w:val="both"/>
        <w:textDirection w:val="lrTb"/>
        <w:textAlignment w:val="auto"/>
        <w:outlineLvl w:val="9"/>
        <w:rPr>
          <w:rFonts w:ascii="Times New Roman" w:hAnsi="Times New Roman" w:cs="Times New Roman"/>
          <w:sz w:val="24"/>
          <w:szCs w:val="24"/>
        </w:rPr>
      </w:pPr>
      <w:r w:rsidRPr="00451E72">
        <w:rPr>
          <w:rFonts w:ascii="Times New Roman" w:hAnsi="Times New Roman" w:cs="Times New Roman"/>
          <w:sz w:val="24"/>
          <w:szCs w:val="24"/>
        </w:rPr>
        <w:t>Dimensão social: capacidade de participar e influenciar socialmente, visando metas interpessoais de modo culturalmente aceitável (</w:t>
      </w:r>
      <w:proofErr w:type="spellStart"/>
      <w:r w:rsidRPr="00451E72">
        <w:rPr>
          <w:rFonts w:ascii="Times New Roman" w:hAnsi="Times New Roman" w:cs="Times New Roman"/>
          <w:sz w:val="24"/>
          <w:szCs w:val="24"/>
        </w:rPr>
        <w:t>Oyarzún</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Goic</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Astete</w:t>
      </w:r>
      <w:proofErr w:type="spellEnd"/>
      <w:r w:rsidRPr="00451E72">
        <w:rPr>
          <w:rFonts w:ascii="Times New Roman" w:hAnsi="Times New Roman" w:cs="Times New Roman"/>
          <w:sz w:val="24"/>
          <w:szCs w:val="24"/>
        </w:rPr>
        <w:t>, 2012).</w:t>
      </w:r>
    </w:p>
    <w:p w14:paraId="20C71F9F"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 referida escala não deve ser utilizada como único recurso diagnóstico, devendo ser interpretada em conjunto com outros dados e instrumentos, em um contexto avaliativo mais amplo. Ainda assim, constitui um indicativo relevante para a identificação da possibilidade de Dupla Excepcionalidade em crianças e adolescentes entre seis e 18 anos (</w:t>
      </w:r>
      <w:proofErr w:type="spellStart"/>
      <w:r w:rsidRPr="00451E72">
        <w:rPr>
          <w:rFonts w:ascii="Times New Roman" w:hAnsi="Times New Roman" w:cs="Times New Roman"/>
          <w:sz w:val="24"/>
          <w:szCs w:val="24"/>
        </w:rPr>
        <w:t>Conejeros</w:t>
      </w:r>
      <w:proofErr w:type="spellEnd"/>
      <w:r w:rsidRPr="00451E72">
        <w:rPr>
          <w:rFonts w:ascii="Times New Roman" w:hAnsi="Times New Roman" w:cs="Times New Roman"/>
          <w:sz w:val="24"/>
          <w:szCs w:val="24"/>
        </w:rPr>
        <w:t>-Solar et al., 2018).</w:t>
      </w:r>
    </w:p>
    <w:p w14:paraId="1214CD3D"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É empregada em pesquisas, na prática clínica e em contextos educacionais em países </w:t>
      </w:r>
      <w:proofErr w:type="spellStart"/>
      <w:r w:rsidRPr="00451E72">
        <w:rPr>
          <w:rFonts w:ascii="Times New Roman" w:hAnsi="Times New Roman" w:cs="Times New Roman"/>
          <w:sz w:val="24"/>
          <w:szCs w:val="24"/>
        </w:rPr>
        <w:t>hispanohablantes</w:t>
      </w:r>
      <w:proofErr w:type="spellEnd"/>
      <w:r w:rsidRPr="00451E72">
        <w:rPr>
          <w:rFonts w:ascii="Times New Roman" w:hAnsi="Times New Roman" w:cs="Times New Roman"/>
          <w:sz w:val="24"/>
          <w:szCs w:val="24"/>
        </w:rPr>
        <w:t xml:space="preserve"> da América do Sul, América Central, América do Norte e Europa, como Chile, Guatemala, Espanha e México. Ressalta-se, porém, que, até o momento, não foram realizadas adaptações transculturais nem estudos de validade nesses contextos.</w:t>
      </w:r>
    </w:p>
    <w:p w14:paraId="431252A9" w14:textId="77777777" w:rsidR="00EF4E78" w:rsidRPr="00451E72" w:rsidRDefault="00EF4E78" w:rsidP="00EF4E78">
      <w:pPr>
        <w:spacing w:line="360" w:lineRule="auto"/>
        <w:ind w:left="0" w:hanging="2"/>
        <w:jc w:val="both"/>
        <w:rPr>
          <w:rFonts w:ascii="Times New Roman" w:hAnsi="Times New Roman" w:cs="Times New Roman"/>
          <w:b/>
          <w:bCs/>
          <w:sz w:val="24"/>
          <w:szCs w:val="24"/>
        </w:rPr>
      </w:pPr>
      <w:r w:rsidRPr="00451E72">
        <w:rPr>
          <w:rFonts w:ascii="Times New Roman" w:hAnsi="Times New Roman" w:cs="Times New Roman"/>
          <w:b/>
          <w:bCs/>
          <w:sz w:val="24"/>
          <w:szCs w:val="24"/>
        </w:rPr>
        <w:t>Procedimentos de coleta de dados</w:t>
      </w:r>
    </w:p>
    <w:p w14:paraId="30F9EB65"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Os procedimentos foram implementados remotamente, com o auxílio de ferramentas como Whatsapp, e-mail, Planilhas no Software Microsoft Office Excel e reunião por meio do Google Meet.</w:t>
      </w:r>
    </w:p>
    <w:p w14:paraId="7EC85EE6" w14:textId="77777777" w:rsidR="00EF4E78" w:rsidRPr="00451E72" w:rsidRDefault="00EF4E78" w:rsidP="00EF4E78">
      <w:pPr>
        <w:spacing w:line="360" w:lineRule="auto"/>
        <w:ind w:left="0" w:hanging="2"/>
        <w:jc w:val="both"/>
        <w:rPr>
          <w:rFonts w:ascii="Times New Roman" w:hAnsi="Times New Roman" w:cs="Times New Roman"/>
          <w:b/>
          <w:bCs/>
          <w:sz w:val="24"/>
          <w:szCs w:val="24"/>
        </w:rPr>
      </w:pPr>
      <w:r w:rsidRPr="00451E72">
        <w:rPr>
          <w:rFonts w:ascii="Times New Roman" w:hAnsi="Times New Roman" w:cs="Times New Roman"/>
          <w:b/>
          <w:bCs/>
          <w:sz w:val="24"/>
          <w:szCs w:val="24"/>
        </w:rPr>
        <w:t>Procedimentos de análise de dados</w:t>
      </w:r>
    </w:p>
    <w:p w14:paraId="67ED9C42"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Não há consenso quanto aos procedimentos metodológicos no processo de transculturação, pois dependem do contexto, da população-alvo e das características do instrumento. Contudo, recomenda-se que vá além da tradução, garantindo validade do construto e confiabilidade da medida (Borsa; Damásio; Bandeira, 2012). Para isso, são necessários procedimentos que assegurem a equivalência semântica e evidências psicométricas (</w:t>
      </w:r>
      <w:proofErr w:type="spellStart"/>
      <w:r w:rsidRPr="00451E72">
        <w:rPr>
          <w:rFonts w:ascii="Times New Roman" w:hAnsi="Times New Roman" w:cs="Times New Roman"/>
          <w:sz w:val="24"/>
          <w:szCs w:val="24"/>
        </w:rPr>
        <w:t>Beaton</w:t>
      </w:r>
      <w:proofErr w:type="spellEnd"/>
      <w:r w:rsidRPr="00451E72">
        <w:rPr>
          <w:rFonts w:ascii="Times New Roman" w:hAnsi="Times New Roman" w:cs="Times New Roman"/>
          <w:sz w:val="24"/>
          <w:szCs w:val="24"/>
        </w:rPr>
        <w:t xml:space="preserve">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xml:space="preserve">, 2000; Borsa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xml:space="preserve">, 2012). </w:t>
      </w:r>
    </w:p>
    <w:p w14:paraId="21906FD0"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lastRenderedPageBreak/>
        <w:t xml:space="preserve">A tradução foi feita por um tradutor juramentado e uma doutora em Educação, ambos fluentes em espanhol e português. Os autores comparam e sintetizaram as versões. A </w:t>
      </w:r>
      <w:proofErr w:type="spellStart"/>
      <w:r w:rsidRPr="00451E72">
        <w:rPr>
          <w:rFonts w:ascii="Times New Roman" w:hAnsi="Times New Roman" w:cs="Times New Roman"/>
          <w:sz w:val="24"/>
          <w:szCs w:val="24"/>
        </w:rPr>
        <w:t>retrotradução</w:t>
      </w:r>
      <w:proofErr w:type="spellEnd"/>
      <w:r w:rsidRPr="00451E72">
        <w:rPr>
          <w:rFonts w:ascii="Times New Roman" w:hAnsi="Times New Roman" w:cs="Times New Roman"/>
          <w:sz w:val="24"/>
          <w:szCs w:val="24"/>
        </w:rPr>
        <w:t xml:space="preserve"> seguiu os mesmos critérios, com novos tradutores. A adequação semântica contou com juízas que avaliaram clareza, adaptação e necessidade de modificação. A concordância foi calculada conforme Alexandre e </w:t>
      </w:r>
      <w:proofErr w:type="spellStart"/>
      <w:r w:rsidRPr="00451E72">
        <w:rPr>
          <w:rFonts w:ascii="Times New Roman" w:hAnsi="Times New Roman" w:cs="Times New Roman"/>
          <w:sz w:val="24"/>
          <w:szCs w:val="24"/>
        </w:rPr>
        <w:t>Coluci</w:t>
      </w:r>
      <w:proofErr w:type="spellEnd"/>
      <w:r w:rsidRPr="00451E72">
        <w:rPr>
          <w:rFonts w:ascii="Times New Roman" w:hAnsi="Times New Roman" w:cs="Times New Roman"/>
          <w:sz w:val="24"/>
          <w:szCs w:val="24"/>
        </w:rPr>
        <w:t xml:space="preserve"> (2011). Na adequação conceitual, juízas avaliaram adaptação, relevância e modificação dos itens. O índice de validade de conteúdo (IVC) foi calculado dividindo-se o número de respostas "4" ou "5" pelo total de respostas recebidas para aquele item.</w:t>
      </w:r>
    </w:p>
    <w:p w14:paraId="3D1E3E41"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Considerou-se como valor mínimo aceitável o ponto de corte de 0,90, conforme recomendação de </w:t>
      </w:r>
      <w:proofErr w:type="spellStart"/>
      <w:r w:rsidRPr="00451E72">
        <w:rPr>
          <w:rFonts w:ascii="Times New Roman" w:hAnsi="Times New Roman" w:cs="Times New Roman"/>
          <w:sz w:val="24"/>
          <w:szCs w:val="24"/>
        </w:rPr>
        <w:t>Polit</w:t>
      </w:r>
      <w:proofErr w:type="spellEnd"/>
      <w:r w:rsidRPr="00451E72">
        <w:rPr>
          <w:rFonts w:ascii="Times New Roman" w:hAnsi="Times New Roman" w:cs="Times New Roman"/>
          <w:sz w:val="24"/>
          <w:szCs w:val="24"/>
        </w:rPr>
        <w:t xml:space="preserve"> e Beck (2006) </w:t>
      </w:r>
    </w:p>
    <w:p w14:paraId="4C470639"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 harmonização foi feita em grupo focal com Doutores do grupo de pesquisas “Diferença, desvio e estigma”.</w:t>
      </w:r>
    </w:p>
    <w:p w14:paraId="5BC6A4E7" w14:textId="77777777" w:rsidR="00EF4E78" w:rsidRPr="00451E72" w:rsidRDefault="00EF4E78" w:rsidP="00EF4E78">
      <w:pPr>
        <w:spacing w:line="360" w:lineRule="auto"/>
        <w:ind w:left="0" w:hanging="2"/>
        <w:jc w:val="both"/>
        <w:rPr>
          <w:rFonts w:ascii="Times New Roman" w:eastAsia="Times New Roman" w:hAnsi="Times New Roman" w:cs="Times New Roman"/>
          <w:b/>
          <w:sz w:val="24"/>
          <w:szCs w:val="24"/>
        </w:rPr>
      </w:pPr>
      <w:r w:rsidRPr="00451E72">
        <w:rPr>
          <w:rFonts w:ascii="Times New Roman" w:hAnsi="Times New Roman" w:cs="Times New Roman"/>
          <w:sz w:val="24"/>
          <w:szCs w:val="24"/>
        </w:rPr>
        <w:t xml:space="preserve"> </w:t>
      </w:r>
      <w:r w:rsidRPr="00451E72">
        <w:rPr>
          <w:rFonts w:ascii="Times New Roman" w:eastAsia="Times New Roman" w:hAnsi="Times New Roman" w:cs="Times New Roman"/>
          <w:b/>
          <w:sz w:val="24"/>
          <w:szCs w:val="24"/>
        </w:rPr>
        <w:t>3. Resultados</w:t>
      </w:r>
    </w:p>
    <w:p w14:paraId="6EB116D8"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b/>
          <w:bCs/>
          <w:sz w:val="24"/>
          <w:szCs w:val="24"/>
        </w:rPr>
        <w:t>Tradução</w:t>
      </w:r>
      <w:r w:rsidRPr="00451E72">
        <w:rPr>
          <w:rFonts w:ascii="Times New Roman" w:hAnsi="Times New Roman" w:cs="Times New Roman"/>
          <w:sz w:val="24"/>
          <w:szCs w:val="24"/>
        </w:rPr>
        <w:t xml:space="preserve"> </w:t>
      </w:r>
    </w:p>
    <w:p w14:paraId="1AC65003"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b/>
        <w:t xml:space="preserve"> Realizar a tradução por dois tradutores independentes possibilitou a comparação entre versões, detectando eventuais equívocos e interpretações divergentes, principalmente em itens ambíguos. Essa estratégia reduz vieses no instrumento (</w:t>
      </w:r>
      <w:proofErr w:type="spellStart"/>
      <w:r w:rsidRPr="00451E72">
        <w:rPr>
          <w:rFonts w:ascii="Times New Roman" w:hAnsi="Times New Roman" w:cs="Times New Roman"/>
          <w:sz w:val="24"/>
          <w:szCs w:val="24"/>
        </w:rPr>
        <w:t>Beaton</w:t>
      </w:r>
      <w:proofErr w:type="spellEnd"/>
      <w:r w:rsidRPr="00451E72">
        <w:rPr>
          <w:rFonts w:ascii="Times New Roman" w:hAnsi="Times New Roman" w:cs="Times New Roman"/>
          <w:sz w:val="24"/>
          <w:szCs w:val="24"/>
        </w:rPr>
        <w:t xml:space="preserve">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xml:space="preserve">, 2000; Wild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2005). Conforme os autores, essa etapa facilita a reconciliação entre as versões traduzidas e aumenta a consistência do material.</w:t>
      </w:r>
    </w:p>
    <w:p w14:paraId="44F83A2A" w14:textId="77777777" w:rsidR="00EF4E78"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A caracterização dos tradutores envolvidos está disposta </w:t>
      </w:r>
      <w:r>
        <w:rPr>
          <w:rFonts w:ascii="Times New Roman" w:hAnsi="Times New Roman" w:cs="Times New Roman"/>
          <w:sz w:val="24"/>
          <w:szCs w:val="24"/>
        </w:rPr>
        <w:t>no Quadro</w:t>
      </w:r>
      <w:r w:rsidRPr="00451E72">
        <w:rPr>
          <w:rFonts w:ascii="Times New Roman" w:hAnsi="Times New Roman" w:cs="Times New Roman"/>
          <w:sz w:val="24"/>
          <w:szCs w:val="24"/>
        </w:rPr>
        <w:t xml:space="preserve"> 2.</w:t>
      </w:r>
    </w:p>
    <w:p w14:paraId="01DC2425" w14:textId="77777777" w:rsidR="00EF4E78" w:rsidRPr="00451E72" w:rsidRDefault="00EF4E78" w:rsidP="00EF4E78">
      <w:pPr>
        <w:spacing w:line="360" w:lineRule="auto"/>
        <w:ind w:left="0" w:hanging="2"/>
        <w:jc w:val="center"/>
        <w:rPr>
          <w:rFonts w:ascii="Times New Roman" w:hAnsi="Times New Roman" w:cs="Times New Roman"/>
          <w:b/>
          <w:bCs/>
        </w:rPr>
      </w:pPr>
      <w:r>
        <w:rPr>
          <w:rFonts w:ascii="Times New Roman" w:hAnsi="Times New Roman" w:cs="Times New Roman"/>
          <w:b/>
          <w:bCs/>
        </w:rPr>
        <w:t>QUADRO</w:t>
      </w:r>
      <w:r w:rsidRPr="00451E72">
        <w:rPr>
          <w:rFonts w:ascii="Times New Roman" w:hAnsi="Times New Roman" w:cs="Times New Roman"/>
          <w:b/>
          <w:bCs/>
        </w:rPr>
        <w:t xml:space="preserve"> 2 </w:t>
      </w:r>
      <w:r w:rsidRPr="00451E72">
        <w:rPr>
          <w:rFonts w:ascii="Times New Roman" w:eastAsia="Times New Roman" w:hAnsi="Times New Roman" w:cs="Times New Roman"/>
        </w:rPr>
        <w:t>–</w:t>
      </w:r>
      <w:r w:rsidRPr="00451E72">
        <w:rPr>
          <w:rFonts w:ascii="Times New Roman" w:hAnsi="Times New Roman" w:cs="Times New Roman"/>
          <w:b/>
          <w:bCs/>
        </w:rPr>
        <w:t xml:space="preserve"> </w:t>
      </w:r>
      <w:r w:rsidRPr="00451E72">
        <w:rPr>
          <w:rFonts w:ascii="Times New Roman" w:hAnsi="Times New Roman" w:cs="Times New Roman"/>
        </w:rPr>
        <w:t>Caracterização dos tradutores</w:t>
      </w:r>
    </w:p>
    <w:tbl>
      <w:tblPr>
        <w:tblStyle w:val="Tabelacomgrade"/>
        <w:tblW w:w="0" w:type="auto"/>
        <w:tblLook w:val="04A0" w:firstRow="1" w:lastRow="0" w:firstColumn="1" w:lastColumn="0" w:noHBand="0" w:noVBand="1"/>
      </w:tblPr>
      <w:tblGrid>
        <w:gridCol w:w="1375"/>
        <w:gridCol w:w="7689"/>
      </w:tblGrid>
      <w:tr w:rsidR="00EF4E78" w:rsidRPr="00451E72" w14:paraId="3DB5AADE" w14:textId="77777777">
        <w:trPr>
          <w:trHeight w:val="205"/>
        </w:trPr>
        <w:tc>
          <w:tcPr>
            <w:tcW w:w="1384" w:type="dxa"/>
            <w:vAlign w:val="center"/>
          </w:tcPr>
          <w:p w14:paraId="75634C78"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Tradutor 1</w:t>
            </w:r>
          </w:p>
        </w:tc>
        <w:tc>
          <w:tcPr>
            <w:tcW w:w="7827" w:type="dxa"/>
            <w:vAlign w:val="center"/>
          </w:tcPr>
          <w:p w14:paraId="7D799E2A"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Empresa de Tradução localizada em São Paulo, Brasil.</w:t>
            </w:r>
          </w:p>
        </w:tc>
      </w:tr>
      <w:tr w:rsidR="00EF4E78" w:rsidRPr="00451E72" w14:paraId="15AABB1B" w14:textId="77777777">
        <w:tc>
          <w:tcPr>
            <w:tcW w:w="1384" w:type="dxa"/>
            <w:vAlign w:val="center"/>
          </w:tcPr>
          <w:p w14:paraId="7D68D8FE"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Tradutor 2</w:t>
            </w:r>
          </w:p>
        </w:tc>
        <w:tc>
          <w:tcPr>
            <w:tcW w:w="7827" w:type="dxa"/>
          </w:tcPr>
          <w:p w14:paraId="3A597A04"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xml:space="preserve">Pedagoga. Mestra e Doutora em Educação, com estágio na Universidade de Barcelona / Espanha, Docente da Universidade Federal de São Carlos. </w:t>
            </w:r>
          </w:p>
        </w:tc>
      </w:tr>
    </w:tbl>
    <w:p w14:paraId="51D8B181" w14:textId="77777777" w:rsidR="00EF4E78" w:rsidRPr="007B5652" w:rsidRDefault="00EF4E78" w:rsidP="00EF4E78">
      <w:pPr>
        <w:spacing w:line="360" w:lineRule="auto"/>
        <w:ind w:left="0" w:hanging="2"/>
        <w:jc w:val="center"/>
        <w:rPr>
          <w:rFonts w:ascii="Times New Roman" w:hAnsi="Times New Roman" w:cs="Times New Roman"/>
        </w:rPr>
      </w:pPr>
      <w:r w:rsidRPr="007B5652">
        <w:rPr>
          <w:rFonts w:ascii="Times New Roman" w:hAnsi="Times New Roman" w:cs="Times New Roman"/>
        </w:rPr>
        <w:t>Fonte: elaboração própria, 2025.</w:t>
      </w:r>
    </w:p>
    <w:p w14:paraId="011E92A2"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b/>
        <w:t>As instruções para a tradução, juntamente com os itens do instrumento a serem traduzidos foram enviados por e-mail.</w:t>
      </w:r>
    </w:p>
    <w:p w14:paraId="0CEC127E"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Instruções: Os itens abaixo buscam avaliar a Dupla Excepcionalidade – Superdotação e TDAH, em crianças e adolescentes. Por favor, realize o processo de tradução, buscando atentar para as normas linguísticas, semânticas e idiomáticas do português brasileiro. Caso algum termo não se aplique diretamente a esta língua, por favor, tente utilizar um termo mais próximo possível, o qual não leve a mudança no sentido do item.</w:t>
      </w:r>
    </w:p>
    <w:p w14:paraId="578E23BF"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lastRenderedPageBreak/>
        <w:t xml:space="preserve">Após a tradução, foi elaborada uma versão conciliada, comparada posteriormente à </w:t>
      </w:r>
      <w:proofErr w:type="spellStart"/>
      <w:r w:rsidRPr="00451E72">
        <w:rPr>
          <w:rFonts w:ascii="Times New Roman" w:hAnsi="Times New Roman" w:cs="Times New Roman"/>
          <w:sz w:val="24"/>
          <w:szCs w:val="24"/>
        </w:rPr>
        <w:t>retrotradução</w:t>
      </w:r>
      <w:proofErr w:type="spellEnd"/>
      <w:r w:rsidRPr="00451E72">
        <w:rPr>
          <w:rFonts w:ascii="Times New Roman" w:hAnsi="Times New Roman" w:cs="Times New Roman"/>
          <w:sz w:val="24"/>
          <w:szCs w:val="24"/>
        </w:rPr>
        <w:t>.</w:t>
      </w:r>
    </w:p>
    <w:p w14:paraId="02FE2FAB" w14:textId="77777777" w:rsidR="00EF4E78" w:rsidRPr="00451E72" w:rsidRDefault="00EF4E78" w:rsidP="00EF4E78">
      <w:pPr>
        <w:spacing w:line="360" w:lineRule="auto"/>
        <w:ind w:left="0" w:hanging="2"/>
        <w:jc w:val="both"/>
        <w:rPr>
          <w:rFonts w:ascii="Times New Roman" w:hAnsi="Times New Roman" w:cs="Times New Roman"/>
          <w:b/>
          <w:bCs/>
          <w:sz w:val="24"/>
          <w:szCs w:val="24"/>
        </w:rPr>
      </w:pPr>
      <w:proofErr w:type="spellStart"/>
      <w:r w:rsidRPr="00451E72">
        <w:rPr>
          <w:rFonts w:ascii="Times New Roman" w:hAnsi="Times New Roman" w:cs="Times New Roman"/>
          <w:b/>
          <w:bCs/>
          <w:sz w:val="24"/>
          <w:szCs w:val="24"/>
        </w:rPr>
        <w:t>Retrotradução</w:t>
      </w:r>
      <w:proofErr w:type="spellEnd"/>
    </w:p>
    <w:p w14:paraId="6C7763AC"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O objetivo principal da </w:t>
      </w:r>
      <w:proofErr w:type="spellStart"/>
      <w:r w:rsidRPr="00451E72">
        <w:rPr>
          <w:rFonts w:ascii="Times New Roman" w:hAnsi="Times New Roman" w:cs="Times New Roman"/>
          <w:sz w:val="24"/>
          <w:szCs w:val="24"/>
        </w:rPr>
        <w:t>retrotradução</w:t>
      </w:r>
      <w:proofErr w:type="spellEnd"/>
      <w:r w:rsidRPr="00451E72">
        <w:rPr>
          <w:rFonts w:ascii="Times New Roman" w:hAnsi="Times New Roman" w:cs="Times New Roman"/>
          <w:sz w:val="24"/>
          <w:szCs w:val="24"/>
        </w:rPr>
        <w:t xml:space="preserve"> é servir como uma etapa que controla a qualidade e mostra que a qualidade da tradução é boa a tal ponto, que o mesmo significado é atribuído quando retorna ao idioma original (</w:t>
      </w:r>
      <w:proofErr w:type="spellStart"/>
      <w:r w:rsidRPr="00451E72">
        <w:rPr>
          <w:rFonts w:ascii="Times New Roman" w:hAnsi="Times New Roman" w:cs="Times New Roman"/>
          <w:sz w:val="24"/>
          <w:szCs w:val="24"/>
        </w:rPr>
        <w:t>Beaton</w:t>
      </w:r>
      <w:proofErr w:type="spellEnd"/>
      <w:r w:rsidRPr="00451E72">
        <w:rPr>
          <w:rFonts w:ascii="Times New Roman" w:hAnsi="Times New Roman" w:cs="Times New Roman"/>
          <w:sz w:val="24"/>
          <w:szCs w:val="24"/>
        </w:rPr>
        <w:t xml:space="preserve">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xml:space="preserve">, 2000; Wild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2005).</w:t>
      </w:r>
    </w:p>
    <w:p w14:paraId="3B37B24D"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Para </w:t>
      </w:r>
      <w:proofErr w:type="spellStart"/>
      <w:r w:rsidRPr="00451E72">
        <w:rPr>
          <w:rFonts w:ascii="Times New Roman" w:hAnsi="Times New Roman" w:cs="Times New Roman"/>
          <w:sz w:val="24"/>
          <w:szCs w:val="24"/>
        </w:rPr>
        <w:t>Beaton</w:t>
      </w:r>
      <w:proofErr w:type="spellEnd"/>
      <w:r w:rsidRPr="00451E72">
        <w:rPr>
          <w:rFonts w:ascii="Times New Roman" w:hAnsi="Times New Roman" w:cs="Times New Roman"/>
          <w:sz w:val="24"/>
          <w:szCs w:val="24"/>
        </w:rPr>
        <w:t xml:space="preserve">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xml:space="preserve"> (2000), a concordância entre a </w:t>
      </w:r>
      <w:proofErr w:type="spellStart"/>
      <w:r w:rsidRPr="00451E72">
        <w:rPr>
          <w:rFonts w:ascii="Times New Roman" w:hAnsi="Times New Roman" w:cs="Times New Roman"/>
          <w:sz w:val="24"/>
          <w:szCs w:val="24"/>
        </w:rPr>
        <w:t>retrotradução</w:t>
      </w:r>
      <w:proofErr w:type="spellEnd"/>
      <w:r w:rsidRPr="00451E72">
        <w:rPr>
          <w:rFonts w:ascii="Times New Roman" w:hAnsi="Times New Roman" w:cs="Times New Roman"/>
          <w:sz w:val="24"/>
          <w:szCs w:val="24"/>
        </w:rPr>
        <w:t xml:space="preserve"> e a versão original não garante uma tradução satisfatória, porém, garante que ela seja mais consistente. Os autores afirmam que esse é apenas um tipo de verificação de validade, capaz de destacar inconsistências grosseiras e erros conceituais, na tradução.</w:t>
      </w:r>
    </w:p>
    <w:p w14:paraId="62C00545" w14:textId="77777777" w:rsidR="00EF4E78"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A descrição dos participantes está alocada </w:t>
      </w:r>
      <w:r>
        <w:rPr>
          <w:rFonts w:ascii="Times New Roman" w:hAnsi="Times New Roman" w:cs="Times New Roman"/>
          <w:sz w:val="24"/>
          <w:szCs w:val="24"/>
        </w:rPr>
        <w:t>no Quadro</w:t>
      </w:r>
      <w:r w:rsidRPr="00451E72">
        <w:rPr>
          <w:rFonts w:ascii="Times New Roman" w:hAnsi="Times New Roman" w:cs="Times New Roman"/>
          <w:sz w:val="24"/>
          <w:szCs w:val="24"/>
        </w:rPr>
        <w:t xml:space="preserve"> 3. </w:t>
      </w:r>
    </w:p>
    <w:p w14:paraId="7B9704F9" w14:textId="77777777" w:rsidR="00EF4E78" w:rsidRPr="00451E72" w:rsidRDefault="00EF4E78" w:rsidP="00EF4E78">
      <w:pPr>
        <w:spacing w:line="360" w:lineRule="auto"/>
        <w:ind w:left="0" w:hanging="2"/>
        <w:jc w:val="center"/>
        <w:rPr>
          <w:rFonts w:ascii="Times New Roman" w:hAnsi="Times New Roman" w:cs="Times New Roman"/>
          <w:b/>
          <w:bCs/>
        </w:rPr>
      </w:pPr>
      <w:r>
        <w:rPr>
          <w:rFonts w:ascii="Times New Roman" w:hAnsi="Times New Roman" w:cs="Times New Roman"/>
          <w:b/>
          <w:bCs/>
        </w:rPr>
        <w:t>QUADRO</w:t>
      </w:r>
      <w:r w:rsidRPr="00451E72">
        <w:rPr>
          <w:rFonts w:ascii="Times New Roman" w:hAnsi="Times New Roman" w:cs="Times New Roman"/>
          <w:b/>
          <w:bCs/>
        </w:rPr>
        <w:t xml:space="preserve"> 3 </w:t>
      </w:r>
      <w:r w:rsidRPr="00451E72">
        <w:rPr>
          <w:rFonts w:ascii="Times New Roman" w:eastAsia="Times New Roman" w:hAnsi="Times New Roman" w:cs="Times New Roman"/>
        </w:rPr>
        <w:t xml:space="preserve">– </w:t>
      </w:r>
      <w:r w:rsidRPr="00451E72">
        <w:rPr>
          <w:rFonts w:ascii="Times New Roman" w:hAnsi="Times New Roman" w:cs="Times New Roman"/>
        </w:rPr>
        <w:t xml:space="preserve">Caracterização dos tradutores da </w:t>
      </w:r>
      <w:proofErr w:type="spellStart"/>
      <w:r w:rsidRPr="00451E72">
        <w:rPr>
          <w:rFonts w:ascii="Times New Roman" w:hAnsi="Times New Roman" w:cs="Times New Roman"/>
        </w:rPr>
        <w:t>retrotradução</w:t>
      </w:r>
      <w:proofErr w:type="spellEnd"/>
    </w:p>
    <w:tbl>
      <w:tblPr>
        <w:tblStyle w:val="Tabelacomgrade"/>
        <w:tblW w:w="0" w:type="auto"/>
        <w:tblLook w:val="04A0" w:firstRow="1" w:lastRow="0" w:firstColumn="1" w:lastColumn="0" w:noHBand="0" w:noVBand="1"/>
      </w:tblPr>
      <w:tblGrid>
        <w:gridCol w:w="1375"/>
        <w:gridCol w:w="7689"/>
      </w:tblGrid>
      <w:tr w:rsidR="00EF4E78" w:rsidRPr="00451E72" w14:paraId="33113D64" w14:textId="77777777">
        <w:tc>
          <w:tcPr>
            <w:tcW w:w="1384" w:type="dxa"/>
            <w:vAlign w:val="center"/>
          </w:tcPr>
          <w:p w14:paraId="6BA6CDA6"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Tradutor 1</w:t>
            </w:r>
          </w:p>
        </w:tc>
        <w:tc>
          <w:tcPr>
            <w:tcW w:w="7827" w:type="dxa"/>
          </w:tcPr>
          <w:p w14:paraId="792C499E"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Empresa de Tradução localizada em São Paulo, Brasil.</w:t>
            </w:r>
          </w:p>
        </w:tc>
      </w:tr>
      <w:tr w:rsidR="00EF4E78" w:rsidRPr="00451E72" w14:paraId="7B2D0FB2" w14:textId="77777777">
        <w:tc>
          <w:tcPr>
            <w:tcW w:w="1384" w:type="dxa"/>
            <w:vAlign w:val="center"/>
          </w:tcPr>
          <w:p w14:paraId="376CFD12" w14:textId="77777777" w:rsidR="00EF4E78" w:rsidRPr="00451E72" w:rsidRDefault="00EF4E78">
            <w:pPr>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Tradutor 2</w:t>
            </w:r>
          </w:p>
        </w:tc>
        <w:tc>
          <w:tcPr>
            <w:tcW w:w="7827" w:type="dxa"/>
          </w:tcPr>
          <w:p w14:paraId="6B3569E9" w14:textId="77777777" w:rsidR="00EF4E78" w:rsidRPr="00451E72" w:rsidRDefault="00EF4E78">
            <w:pPr>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xml:space="preserve">Pedagoga, Mestra e Doutora em Educação Especial. Doutora em Psicologia. Docente na </w:t>
            </w:r>
            <w:proofErr w:type="spellStart"/>
            <w:r w:rsidRPr="00451E72">
              <w:rPr>
                <w:rFonts w:ascii="Times New Roman" w:eastAsia="Calibri" w:hAnsi="Times New Roman" w:cs="Times New Roman"/>
              </w:rPr>
              <w:t>Universidad</w:t>
            </w:r>
            <w:proofErr w:type="spellEnd"/>
            <w:r w:rsidRPr="00451E72">
              <w:rPr>
                <w:rFonts w:ascii="Times New Roman" w:eastAsia="Calibri" w:hAnsi="Times New Roman" w:cs="Times New Roman"/>
              </w:rPr>
              <w:t xml:space="preserve"> Internacional de La Rioja (Espanha).</w:t>
            </w:r>
          </w:p>
        </w:tc>
      </w:tr>
    </w:tbl>
    <w:p w14:paraId="0AC009D7" w14:textId="77777777" w:rsidR="00EF4E78" w:rsidRPr="007B5652" w:rsidRDefault="00EF4E78" w:rsidP="00EF4E78">
      <w:pPr>
        <w:spacing w:line="360" w:lineRule="auto"/>
        <w:ind w:left="0" w:hanging="2"/>
        <w:jc w:val="center"/>
        <w:rPr>
          <w:rFonts w:ascii="Times New Roman" w:hAnsi="Times New Roman" w:cs="Times New Roman"/>
        </w:rPr>
      </w:pPr>
      <w:r w:rsidRPr="007B5652">
        <w:rPr>
          <w:rFonts w:ascii="Times New Roman" w:hAnsi="Times New Roman" w:cs="Times New Roman"/>
        </w:rPr>
        <w:t>Fonte: elaboração própria, 2025.</w:t>
      </w:r>
    </w:p>
    <w:p w14:paraId="04463F6C"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b/>
        <w:t xml:space="preserve">As instruções de </w:t>
      </w:r>
      <w:proofErr w:type="spellStart"/>
      <w:r w:rsidRPr="00451E72">
        <w:rPr>
          <w:rFonts w:ascii="Times New Roman" w:hAnsi="Times New Roman" w:cs="Times New Roman"/>
          <w:sz w:val="24"/>
          <w:szCs w:val="24"/>
        </w:rPr>
        <w:t>retrotradução</w:t>
      </w:r>
      <w:proofErr w:type="spellEnd"/>
      <w:r w:rsidRPr="00451E72">
        <w:rPr>
          <w:rFonts w:ascii="Times New Roman" w:hAnsi="Times New Roman" w:cs="Times New Roman"/>
          <w:sz w:val="24"/>
          <w:szCs w:val="24"/>
        </w:rPr>
        <w:t xml:space="preserve"> foram encaminhadas por e-mail, acompanhadas dos itens do instrumento a serem traduzidos.</w:t>
      </w:r>
    </w:p>
    <w:p w14:paraId="15FBBC32"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Instruções: Os itens abaixo buscam avaliar a Dupla Excepcionalidade – Superdotação e TDAH, em crianças e adolescentes. Por favor, realize o processo de tradução, buscando atentar para as normas linguísticas, semânticas e idiomáticas do espanhol. Caso algum termo não se aplique diretamente a esta língua, por favor, tente utilizar um termo mais próximo possível, que não leve a mudança no sentido do item. Por fim, foi realizada a elaboração da versão conciliada das </w:t>
      </w:r>
      <w:proofErr w:type="spellStart"/>
      <w:r w:rsidRPr="00451E72">
        <w:rPr>
          <w:rFonts w:ascii="Times New Roman" w:hAnsi="Times New Roman" w:cs="Times New Roman"/>
          <w:sz w:val="24"/>
          <w:szCs w:val="24"/>
        </w:rPr>
        <w:t>retrotraduções</w:t>
      </w:r>
      <w:proofErr w:type="spellEnd"/>
      <w:r w:rsidRPr="00451E72">
        <w:rPr>
          <w:rFonts w:ascii="Times New Roman" w:hAnsi="Times New Roman" w:cs="Times New Roman"/>
          <w:sz w:val="24"/>
          <w:szCs w:val="24"/>
        </w:rPr>
        <w:t xml:space="preserve">. </w:t>
      </w:r>
    </w:p>
    <w:p w14:paraId="756F9936"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Os processos de tradução e </w:t>
      </w:r>
      <w:proofErr w:type="spellStart"/>
      <w:r w:rsidRPr="00451E72">
        <w:rPr>
          <w:rFonts w:ascii="Times New Roman" w:hAnsi="Times New Roman" w:cs="Times New Roman"/>
          <w:sz w:val="24"/>
          <w:szCs w:val="24"/>
        </w:rPr>
        <w:t>retrotradução</w:t>
      </w:r>
      <w:proofErr w:type="spellEnd"/>
      <w:r w:rsidRPr="00451E72">
        <w:rPr>
          <w:rFonts w:ascii="Times New Roman" w:hAnsi="Times New Roman" w:cs="Times New Roman"/>
          <w:sz w:val="24"/>
          <w:szCs w:val="24"/>
        </w:rPr>
        <w:t xml:space="preserve"> apresentaram poucas discrepâncias entre os termos, obtendo-se boa resolutividade entre os tradutores e na elaboração da versão conciliada, o que contribui para garantir a equivalência da tradução.</w:t>
      </w:r>
    </w:p>
    <w:p w14:paraId="55559EA8"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Nas próximas fases (adequação semântica e conceitual), procura-se alcançar a equivalência semântica, idiomática, experimental e conceitual do instrumento, sendo que a semântica se refere ao significado das palavras, a idiomática concerne às expressões dos idiomas e coloquiais, a equivalência experimental aborda situações coerentes com o contexto cultural e a conceitual se relaciona ao conceito explorado (Guillemin; Bombardier; </w:t>
      </w:r>
      <w:proofErr w:type="spellStart"/>
      <w:r w:rsidRPr="00451E72">
        <w:rPr>
          <w:rFonts w:ascii="Times New Roman" w:hAnsi="Times New Roman" w:cs="Times New Roman"/>
          <w:sz w:val="24"/>
          <w:szCs w:val="24"/>
        </w:rPr>
        <w:t>Beaton</w:t>
      </w:r>
      <w:proofErr w:type="spellEnd"/>
      <w:r w:rsidRPr="00451E72">
        <w:rPr>
          <w:rFonts w:ascii="Times New Roman" w:hAnsi="Times New Roman" w:cs="Times New Roman"/>
          <w:sz w:val="24"/>
          <w:szCs w:val="24"/>
        </w:rPr>
        <w:t>, 1993).</w:t>
      </w:r>
    </w:p>
    <w:p w14:paraId="50B47E8D"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lastRenderedPageBreak/>
        <w:t>Lynn (1986) recomenda que sejam colaboradores nessas etapas um mínimo de cinco e um máximo de dez pessoas (oito neste estudo). Entre os critérios para participação nessa etapa, a literatura destaca pesquisar sobre o tema, ter domínio do conceito envolvido e possuir conhecimentos metodológicos sobre construção de escalas e/ou questionários (Grant; Davis, 1997).</w:t>
      </w:r>
    </w:p>
    <w:p w14:paraId="3767DA2A"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 avaliação por um comitê de especialistas envolve procedimentos qualitativos (adequação semântica) e quantitativos (adequação conceitual). Estes foram iniciados com o convite aos membros do comitê de juízes, tendo sido enviada uma planilha específica para cada fase, juntamente com um e-mail explicativo e uma introdução, desenvolvidos para cada fase da adaptação.</w:t>
      </w:r>
    </w:p>
    <w:p w14:paraId="26294929"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O papel do comitê de especialistas é consolidar as versões da escala e desenvolver o que se pode considerar a versão </w:t>
      </w:r>
      <w:proofErr w:type="spellStart"/>
      <w:r w:rsidRPr="00451E72">
        <w:rPr>
          <w:rFonts w:ascii="Times New Roman" w:hAnsi="Times New Roman" w:cs="Times New Roman"/>
          <w:sz w:val="24"/>
          <w:szCs w:val="24"/>
        </w:rPr>
        <w:t>pré</w:t>
      </w:r>
      <w:proofErr w:type="spellEnd"/>
      <w:r w:rsidRPr="00451E72">
        <w:rPr>
          <w:rFonts w:ascii="Times New Roman" w:hAnsi="Times New Roman" w:cs="Times New Roman"/>
          <w:sz w:val="24"/>
          <w:szCs w:val="24"/>
        </w:rPr>
        <w:t>-final, antes dos testes de campo, revisando as traduções e chegando a um consenso sobre as discrepâncias (</w:t>
      </w:r>
      <w:proofErr w:type="spellStart"/>
      <w:r w:rsidRPr="00451E72">
        <w:rPr>
          <w:rFonts w:ascii="Times New Roman" w:hAnsi="Times New Roman" w:cs="Times New Roman"/>
          <w:sz w:val="24"/>
          <w:szCs w:val="24"/>
        </w:rPr>
        <w:t>Beaton</w:t>
      </w:r>
      <w:proofErr w:type="spellEnd"/>
      <w:r w:rsidRPr="00451E72">
        <w:rPr>
          <w:rFonts w:ascii="Times New Roman" w:hAnsi="Times New Roman" w:cs="Times New Roman"/>
          <w:sz w:val="24"/>
          <w:szCs w:val="24"/>
        </w:rPr>
        <w:t xml:space="preserve">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2000).</w:t>
      </w:r>
    </w:p>
    <w:p w14:paraId="18E883D0"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b/>
          <w:bCs/>
          <w:sz w:val="24"/>
          <w:szCs w:val="24"/>
        </w:rPr>
      </w:pPr>
      <w:r w:rsidRPr="00451E72">
        <w:rPr>
          <w:rFonts w:ascii="Times New Roman" w:hAnsi="Times New Roman" w:cs="Times New Roman"/>
          <w:b/>
          <w:bCs/>
          <w:sz w:val="24"/>
          <w:szCs w:val="24"/>
        </w:rPr>
        <w:t>Adequação semântica</w:t>
      </w:r>
    </w:p>
    <w:p w14:paraId="2B1574D7"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 adequação semântica refere-se à tradução do instrumento original, e objetiva alcançar efeitos similares em respondentes de culturas distintas (</w:t>
      </w:r>
      <w:proofErr w:type="spellStart"/>
      <w:r w:rsidRPr="00451E72">
        <w:rPr>
          <w:rFonts w:ascii="Times New Roman" w:hAnsi="Times New Roman" w:cs="Times New Roman"/>
          <w:sz w:val="24"/>
          <w:szCs w:val="24"/>
        </w:rPr>
        <w:t>Herdman</w:t>
      </w:r>
      <w:proofErr w:type="spellEnd"/>
      <w:r w:rsidRPr="00451E72">
        <w:rPr>
          <w:rFonts w:ascii="Times New Roman" w:hAnsi="Times New Roman" w:cs="Times New Roman"/>
          <w:sz w:val="24"/>
          <w:szCs w:val="24"/>
        </w:rPr>
        <w:t xml:space="preserve">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xml:space="preserve">, 1998). </w:t>
      </w:r>
    </w:p>
    <w:p w14:paraId="7130315F"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Para Hasselmann e </w:t>
      </w:r>
      <w:proofErr w:type="spellStart"/>
      <w:r w:rsidRPr="00451E72">
        <w:rPr>
          <w:rFonts w:ascii="Times New Roman" w:hAnsi="Times New Roman" w:cs="Times New Roman"/>
          <w:sz w:val="24"/>
          <w:szCs w:val="24"/>
        </w:rPr>
        <w:t>Reichenheim</w:t>
      </w:r>
      <w:proofErr w:type="spellEnd"/>
      <w:r w:rsidRPr="00451E72">
        <w:rPr>
          <w:rFonts w:ascii="Times New Roman" w:hAnsi="Times New Roman" w:cs="Times New Roman"/>
          <w:sz w:val="24"/>
          <w:szCs w:val="24"/>
        </w:rPr>
        <w:t xml:space="preserve"> (2003), o significado pode estar relacionado tanto às ideias ou objetos do mundo aos quais uma ou mais palavras fazem referência (conotativo), quanto à acepção geral de cada termo, entendida por meio do uso do instrumento original em comparação com sua tradução (referencial).</w:t>
      </w:r>
    </w:p>
    <w:p w14:paraId="60E2FE79" w14:textId="77777777" w:rsidR="00EF4E78"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Para a adequação semântica do instrumento, foram juízas cinco Doutoras, com experiência em tradução e adaptação de instrumentos, caracterizadas </w:t>
      </w:r>
      <w:r>
        <w:rPr>
          <w:rFonts w:ascii="Times New Roman" w:hAnsi="Times New Roman" w:cs="Times New Roman"/>
          <w:sz w:val="24"/>
          <w:szCs w:val="24"/>
        </w:rPr>
        <w:t>no Quadro</w:t>
      </w:r>
      <w:r w:rsidRPr="00451E72">
        <w:rPr>
          <w:rFonts w:ascii="Times New Roman" w:hAnsi="Times New Roman" w:cs="Times New Roman"/>
          <w:sz w:val="24"/>
          <w:szCs w:val="24"/>
        </w:rPr>
        <w:t xml:space="preserve"> 4</w:t>
      </w:r>
      <w:r>
        <w:rPr>
          <w:rFonts w:ascii="Times New Roman" w:hAnsi="Times New Roman" w:cs="Times New Roman"/>
          <w:sz w:val="24"/>
          <w:szCs w:val="24"/>
        </w:rPr>
        <w:t>.</w:t>
      </w:r>
    </w:p>
    <w:p w14:paraId="7F49569F" w14:textId="77777777" w:rsidR="00EF4E78" w:rsidRPr="00451E72" w:rsidRDefault="00EF4E78" w:rsidP="00EF4E78">
      <w:pPr>
        <w:autoSpaceDE w:val="0"/>
        <w:autoSpaceDN w:val="0"/>
        <w:adjustRightInd w:val="0"/>
        <w:spacing w:line="360" w:lineRule="auto"/>
        <w:ind w:left="0" w:hanging="2"/>
        <w:jc w:val="center"/>
        <w:rPr>
          <w:rFonts w:ascii="Times New Roman" w:hAnsi="Times New Roman" w:cs="Times New Roman"/>
        </w:rPr>
      </w:pPr>
      <w:r>
        <w:rPr>
          <w:rFonts w:ascii="Times New Roman" w:hAnsi="Times New Roman" w:cs="Times New Roman"/>
          <w:b/>
          <w:bCs/>
        </w:rPr>
        <w:t>QUADRO</w:t>
      </w:r>
      <w:r w:rsidRPr="00451E72">
        <w:rPr>
          <w:rFonts w:ascii="Times New Roman" w:hAnsi="Times New Roman" w:cs="Times New Roman"/>
          <w:b/>
          <w:bCs/>
        </w:rPr>
        <w:t xml:space="preserve"> 4 </w:t>
      </w:r>
      <w:r w:rsidRPr="00451E72">
        <w:rPr>
          <w:rFonts w:ascii="Times New Roman" w:eastAsia="Times New Roman" w:hAnsi="Times New Roman" w:cs="Times New Roman"/>
        </w:rPr>
        <w:t>–</w:t>
      </w:r>
      <w:r w:rsidRPr="00451E72">
        <w:rPr>
          <w:rFonts w:ascii="Times New Roman" w:hAnsi="Times New Roman" w:cs="Times New Roman"/>
          <w:b/>
          <w:bCs/>
        </w:rPr>
        <w:t xml:space="preserve"> </w:t>
      </w:r>
      <w:r w:rsidRPr="00451E72">
        <w:rPr>
          <w:rFonts w:ascii="Times New Roman" w:hAnsi="Times New Roman" w:cs="Times New Roman"/>
        </w:rPr>
        <w:t>Caracterização das juízas da adequação semântica</w:t>
      </w:r>
    </w:p>
    <w:tbl>
      <w:tblPr>
        <w:tblStyle w:val="Tabelacomgrade"/>
        <w:tblW w:w="0" w:type="auto"/>
        <w:jc w:val="center"/>
        <w:tblLook w:val="04A0" w:firstRow="1" w:lastRow="0" w:firstColumn="1" w:lastColumn="0" w:noHBand="0" w:noVBand="1"/>
      </w:tblPr>
      <w:tblGrid>
        <w:gridCol w:w="953"/>
        <w:gridCol w:w="8111"/>
      </w:tblGrid>
      <w:tr w:rsidR="00EF4E78" w:rsidRPr="00451E72" w14:paraId="6E05FCF3" w14:textId="77777777">
        <w:trPr>
          <w:jc w:val="center"/>
        </w:trPr>
        <w:tc>
          <w:tcPr>
            <w:tcW w:w="959" w:type="dxa"/>
            <w:vAlign w:val="center"/>
          </w:tcPr>
          <w:p w14:paraId="3B8D1CD4" w14:textId="77777777" w:rsidR="00EF4E78" w:rsidRPr="00451E72" w:rsidRDefault="00EF4E78">
            <w:pPr>
              <w:autoSpaceDE w:val="0"/>
              <w:autoSpaceDN w:val="0"/>
              <w:adjustRightInd w:val="0"/>
              <w:spacing w:line="360" w:lineRule="auto"/>
              <w:ind w:left="0" w:hanging="2"/>
              <w:rPr>
                <w:rFonts w:ascii="Times New Roman" w:eastAsia="Calibri" w:hAnsi="Times New Roman" w:cs="Times New Roman"/>
              </w:rPr>
            </w:pPr>
            <w:r w:rsidRPr="00451E72">
              <w:rPr>
                <w:rFonts w:ascii="Times New Roman" w:eastAsia="Calibri" w:hAnsi="Times New Roman" w:cs="Times New Roman"/>
              </w:rPr>
              <w:t>Juíza 1</w:t>
            </w:r>
          </w:p>
        </w:tc>
        <w:tc>
          <w:tcPr>
            <w:tcW w:w="8252" w:type="dxa"/>
          </w:tcPr>
          <w:p w14:paraId="2F97CFA7"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eastAsia="Calibri" w:hAnsi="Times New Roman" w:cs="Times New Roman"/>
              </w:rPr>
              <w:t xml:space="preserve">Pedagoga, Mestra e Doutora em Educação Especial. Doutora em Psicologia. Docente na </w:t>
            </w:r>
            <w:proofErr w:type="spellStart"/>
            <w:r w:rsidRPr="00451E72">
              <w:rPr>
                <w:rFonts w:ascii="Times New Roman" w:eastAsia="Calibri" w:hAnsi="Times New Roman" w:cs="Times New Roman"/>
              </w:rPr>
              <w:t>Universidad</w:t>
            </w:r>
            <w:proofErr w:type="spellEnd"/>
            <w:r w:rsidRPr="00451E72">
              <w:rPr>
                <w:rFonts w:ascii="Times New Roman" w:eastAsia="Calibri" w:hAnsi="Times New Roman" w:cs="Times New Roman"/>
              </w:rPr>
              <w:t xml:space="preserve"> Internacional de La Rioja (Espanha).</w:t>
            </w:r>
          </w:p>
        </w:tc>
      </w:tr>
      <w:tr w:rsidR="00EF4E78" w:rsidRPr="00451E72" w14:paraId="06F7C00E" w14:textId="77777777">
        <w:trPr>
          <w:jc w:val="center"/>
        </w:trPr>
        <w:tc>
          <w:tcPr>
            <w:tcW w:w="959" w:type="dxa"/>
            <w:vAlign w:val="center"/>
          </w:tcPr>
          <w:p w14:paraId="76C5FAD3" w14:textId="77777777" w:rsidR="00EF4E78" w:rsidRPr="00451E72" w:rsidRDefault="00EF4E78">
            <w:pPr>
              <w:autoSpaceDE w:val="0"/>
              <w:autoSpaceDN w:val="0"/>
              <w:adjustRightInd w:val="0"/>
              <w:spacing w:line="360" w:lineRule="auto"/>
              <w:ind w:left="0" w:hanging="2"/>
              <w:rPr>
                <w:rFonts w:ascii="Times New Roman" w:eastAsia="Calibri" w:hAnsi="Times New Roman" w:cs="Times New Roman"/>
              </w:rPr>
            </w:pPr>
            <w:r w:rsidRPr="00451E72">
              <w:rPr>
                <w:rFonts w:ascii="Times New Roman" w:eastAsia="Calibri" w:hAnsi="Times New Roman" w:cs="Times New Roman"/>
              </w:rPr>
              <w:t>Juíza 2</w:t>
            </w:r>
          </w:p>
        </w:tc>
        <w:tc>
          <w:tcPr>
            <w:tcW w:w="8252" w:type="dxa"/>
          </w:tcPr>
          <w:p w14:paraId="243456EE"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 xml:space="preserve">Pedagoga, Mestra e Doutora em Educação e especializada em Psicopedagogia e Educação Especial. </w:t>
            </w:r>
            <w:r w:rsidRPr="00451E72">
              <w:rPr>
                <w:rFonts w:ascii="Times New Roman" w:eastAsia="Calibri" w:hAnsi="Times New Roman" w:cs="Times New Roman"/>
              </w:rPr>
              <w:t>Docente</w:t>
            </w:r>
            <w:r w:rsidRPr="00451E72">
              <w:rPr>
                <w:rFonts w:ascii="Times New Roman" w:hAnsi="Times New Roman" w:cs="Times New Roman"/>
              </w:rPr>
              <w:t xml:space="preserve"> na Universidade Estadual Paulista- UNESP. </w:t>
            </w:r>
          </w:p>
        </w:tc>
      </w:tr>
      <w:tr w:rsidR="00EF4E78" w:rsidRPr="00451E72" w14:paraId="6755C905" w14:textId="77777777">
        <w:trPr>
          <w:jc w:val="center"/>
        </w:trPr>
        <w:tc>
          <w:tcPr>
            <w:tcW w:w="959" w:type="dxa"/>
            <w:vAlign w:val="center"/>
          </w:tcPr>
          <w:p w14:paraId="698F9986" w14:textId="77777777" w:rsidR="00EF4E78" w:rsidRPr="00451E72" w:rsidRDefault="00EF4E78">
            <w:pPr>
              <w:autoSpaceDE w:val="0"/>
              <w:autoSpaceDN w:val="0"/>
              <w:adjustRightInd w:val="0"/>
              <w:spacing w:line="360" w:lineRule="auto"/>
              <w:ind w:left="0" w:hanging="2"/>
              <w:rPr>
                <w:rFonts w:ascii="Times New Roman" w:eastAsia="Calibri" w:hAnsi="Times New Roman" w:cs="Times New Roman"/>
              </w:rPr>
            </w:pPr>
            <w:r w:rsidRPr="00451E72">
              <w:rPr>
                <w:rFonts w:ascii="Times New Roman" w:eastAsia="Calibri" w:hAnsi="Times New Roman" w:cs="Times New Roman"/>
              </w:rPr>
              <w:t>Juíza 3</w:t>
            </w:r>
          </w:p>
        </w:tc>
        <w:tc>
          <w:tcPr>
            <w:tcW w:w="8252" w:type="dxa"/>
          </w:tcPr>
          <w:p w14:paraId="45018B9C"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 xml:space="preserve">Psicóloga, Mestra, Doutora e </w:t>
            </w:r>
            <w:proofErr w:type="spellStart"/>
            <w:r w:rsidRPr="00451E72">
              <w:rPr>
                <w:rFonts w:ascii="Times New Roman" w:hAnsi="Times New Roman" w:cs="Times New Roman"/>
              </w:rPr>
              <w:t>pós-doutora</w:t>
            </w:r>
            <w:proofErr w:type="spellEnd"/>
            <w:r w:rsidRPr="00451E72">
              <w:rPr>
                <w:rFonts w:ascii="Times New Roman" w:hAnsi="Times New Roman" w:cs="Times New Roman"/>
              </w:rPr>
              <w:t xml:space="preserve"> em Educação. </w:t>
            </w:r>
            <w:r w:rsidRPr="00451E72">
              <w:rPr>
                <w:rFonts w:ascii="Times New Roman" w:eastAsia="Calibri" w:hAnsi="Times New Roman" w:cs="Times New Roman"/>
              </w:rPr>
              <w:t>Docente</w:t>
            </w:r>
            <w:r w:rsidRPr="00451E72">
              <w:rPr>
                <w:rFonts w:ascii="Times New Roman" w:hAnsi="Times New Roman" w:cs="Times New Roman"/>
              </w:rPr>
              <w:t xml:space="preserve"> na Universidade Estadual Paulista- UNESP.</w:t>
            </w:r>
          </w:p>
        </w:tc>
      </w:tr>
      <w:tr w:rsidR="00EF4E78" w:rsidRPr="00451E72" w14:paraId="09760D23" w14:textId="77777777">
        <w:trPr>
          <w:jc w:val="center"/>
        </w:trPr>
        <w:tc>
          <w:tcPr>
            <w:tcW w:w="959" w:type="dxa"/>
            <w:vAlign w:val="center"/>
          </w:tcPr>
          <w:p w14:paraId="610DAD7D" w14:textId="77777777" w:rsidR="00EF4E78" w:rsidRPr="00451E72" w:rsidRDefault="00EF4E78">
            <w:pPr>
              <w:autoSpaceDE w:val="0"/>
              <w:autoSpaceDN w:val="0"/>
              <w:adjustRightInd w:val="0"/>
              <w:spacing w:line="360" w:lineRule="auto"/>
              <w:ind w:left="0" w:hanging="2"/>
              <w:rPr>
                <w:rFonts w:ascii="Times New Roman" w:eastAsia="Calibri" w:hAnsi="Times New Roman" w:cs="Times New Roman"/>
              </w:rPr>
            </w:pPr>
            <w:r w:rsidRPr="00451E72">
              <w:rPr>
                <w:rFonts w:ascii="Times New Roman" w:eastAsia="Calibri" w:hAnsi="Times New Roman" w:cs="Times New Roman"/>
              </w:rPr>
              <w:t>Juíza 4</w:t>
            </w:r>
          </w:p>
        </w:tc>
        <w:tc>
          <w:tcPr>
            <w:tcW w:w="8252" w:type="dxa"/>
          </w:tcPr>
          <w:p w14:paraId="64C58B18"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Pedagoga, Mestra e Doutora em Educação com estágio na Universidade de Barcelona. Docente na Universidade Federal de São Carlos.</w:t>
            </w:r>
          </w:p>
        </w:tc>
      </w:tr>
      <w:tr w:rsidR="00EF4E78" w:rsidRPr="00451E72" w14:paraId="34C2F603" w14:textId="77777777">
        <w:trPr>
          <w:jc w:val="center"/>
        </w:trPr>
        <w:tc>
          <w:tcPr>
            <w:tcW w:w="959" w:type="dxa"/>
            <w:vAlign w:val="center"/>
          </w:tcPr>
          <w:p w14:paraId="10E29D08" w14:textId="77777777" w:rsidR="00EF4E78" w:rsidRPr="00451E72" w:rsidRDefault="00EF4E78">
            <w:pPr>
              <w:autoSpaceDE w:val="0"/>
              <w:autoSpaceDN w:val="0"/>
              <w:adjustRightInd w:val="0"/>
              <w:spacing w:line="360" w:lineRule="auto"/>
              <w:ind w:left="0" w:hanging="2"/>
              <w:rPr>
                <w:rFonts w:ascii="Times New Roman" w:eastAsia="Calibri" w:hAnsi="Times New Roman" w:cs="Times New Roman"/>
              </w:rPr>
            </w:pPr>
            <w:r w:rsidRPr="00451E72">
              <w:rPr>
                <w:rFonts w:ascii="Times New Roman" w:eastAsia="Calibri" w:hAnsi="Times New Roman" w:cs="Times New Roman"/>
              </w:rPr>
              <w:lastRenderedPageBreak/>
              <w:t>Juíza 5</w:t>
            </w:r>
          </w:p>
        </w:tc>
        <w:tc>
          <w:tcPr>
            <w:tcW w:w="8252" w:type="dxa"/>
          </w:tcPr>
          <w:p w14:paraId="60AF00EA"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 xml:space="preserve">Pedagoga, Mestra e Doutora em Educação com estágio na Universidade do Minho – Portugal. Docente da Universidade Federal do Mato Grosso do Sul. </w:t>
            </w:r>
          </w:p>
        </w:tc>
      </w:tr>
    </w:tbl>
    <w:p w14:paraId="3664A53C" w14:textId="77777777" w:rsidR="00EF4E78" w:rsidRPr="007B5652" w:rsidRDefault="00EF4E78" w:rsidP="00EF4E78">
      <w:pPr>
        <w:autoSpaceDE w:val="0"/>
        <w:autoSpaceDN w:val="0"/>
        <w:adjustRightInd w:val="0"/>
        <w:spacing w:line="360" w:lineRule="auto"/>
        <w:ind w:left="0" w:hanging="2"/>
        <w:jc w:val="center"/>
        <w:rPr>
          <w:rFonts w:ascii="Times New Roman" w:hAnsi="Times New Roman" w:cs="Times New Roman"/>
        </w:rPr>
      </w:pPr>
      <w:r w:rsidRPr="007B5652">
        <w:rPr>
          <w:rFonts w:ascii="Times New Roman" w:hAnsi="Times New Roman" w:cs="Times New Roman"/>
        </w:rPr>
        <w:t>Fonte: elaboração própria, 2025.</w:t>
      </w:r>
    </w:p>
    <w:p w14:paraId="4E23C7F6"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As instruções de preenchimento foram encaminhadas por e-mail, acompanhadas dos itens do instrumento a serem adequados semanticamente. </w:t>
      </w:r>
    </w:p>
    <w:p w14:paraId="4DBB080D"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Instruções: Olá. Abaixo, você encontrará os itens de um instrumento que avalia a Dupla Excepcionalidade – Superdotação e TDAH, em crianças e adolescentes. Gostaríamos de saber a sua opinião sobre o processo de adaptação dos itens. Os itens foram bem adaptados? Os itens estão claros? A linguagem está adequada? Você consegue entender o que o item está perguntando? Caso seja necessário, por favor, </w:t>
      </w:r>
      <w:proofErr w:type="gramStart"/>
      <w:r w:rsidRPr="00451E72">
        <w:rPr>
          <w:rFonts w:ascii="Times New Roman" w:hAnsi="Times New Roman" w:cs="Times New Roman"/>
          <w:sz w:val="24"/>
          <w:szCs w:val="24"/>
        </w:rPr>
        <w:t>nos informe</w:t>
      </w:r>
      <w:proofErr w:type="gramEnd"/>
      <w:r w:rsidRPr="00451E72">
        <w:rPr>
          <w:rFonts w:ascii="Times New Roman" w:hAnsi="Times New Roman" w:cs="Times New Roman"/>
          <w:sz w:val="24"/>
          <w:szCs w:val="24"/>
        </w:rPr>
        <w:t xml:space="preserve"> como o item poderia ser melhorado. </w:t>
      </w:r>
    </w:p>
    <w:p w14:paraId="1B30B2D7"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b/>
        <w:t>A fim de verificar a qualidade da adaptação dos itens, foi feita a pergunta: “O item está bem adaptado?”. Os dados indicam elevado grau de concordância entre as juízas, com a maioria dos itens atingindo 100% de consenso. Na dimensão acadêmica, os itens 2, 3 e 5 apresentaram 80% de concordância, enquanto os demais alcançaram unanimidade. Na dimensão cognitiva, apenas os itens 2 e 18 obtiveram 80%, sendo os demais plenamente validados. As dimensões emocional/comportamental e social mostraram índices ainda mais altos, com apenas o item 5 da dimensão social registrando 80% de consenso. Tais resultados indicam forte validade de conteúdo, com poucas exceções que requerem revisão pontual.</w:t>
      </w:r>
    </w:p>
    <w:p w14:paraId="3649ACF6"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Ao avaliar a clareza e compreensão dos itens, foi observado um nível de concordância ligeiramente inferior. O título foi unanimemente aprovado. Na dimensão acadêmica, somente os itens 4 e 8 atingiram 100%, e os demais oscilaram entre 60% e 80%, com destaque para o item 2, que apresentou a menor taxa. A dimensão cognitiva teve maioria dos itens validados com 100%, embora itens como 1, 2, 4, 8, 13, 16 e 18 tenham alcançado 80%. A dimensão emocional/comportamental revelou boa clareza, com cinco itens recebendo total aprovação e os itens 6 e 7 ficando com 80%. Na dimensão social, os itens 2 e 3 obtiveram 100%, enquanto os itens 1, 4 e 5 registraram 60% e 80% de concordância, indicando necessidade de ajustes. Dezoito itens apresentaram menos de 90% de consenso sobre clareza, especialmente nas dimensões acadêmica e social.</w:t>
      </w:r>
    </w:p>
    <w:p w14:paraId="437D1E74"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Em relação à adequação da linguagem, a análise demonstrou elevada concordância entre as juízas, com o título novamente obtendo 100%. Na dimensão acadêmica, apenas os itens 4 e 8 alcançaram essa marca; itens como 2 e 3 obtiveram 60%, sugerindo necessidade de revisão. A dimensão cognitiva apresentou bom desempenho, com 13 itens plenamente validados e os </w:t>
      </w:r>
      <w:r w:rsidRPr="00451E72">
        <w:rPr>
          <w:rFonts w:ascii="Times New Roman" w:hAnsi="Times New Roman" w:cs="Times New Roman"/>
          <w:sz w:val="24"/>
          <w:szCs w:val="24"/>
        </w:rPr>
        <w:lastRenderedPageBreak/>
        <w:t>demais variando em torno de 80%. A dimensão emocional/comportamental teve seis itens com 100% de concordância e dois com 80%. Na dimensão social, o item 5 obteve o menor consenso (60%), evidenciando fragilidade pontual. No geral, dezessete itens apresentaram menos de 90% de concordância quanto à adequação.</w:t>
      </w:r>
    </w:p>
    <w:p w14:paraId="32060DC0"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Sobre a necessidade de modificação, observou-se que a maioria dos itens foi considerada satisfatória, com o título obtendo 80% de concordância. Na dimensão acadêmica, os itens 4 e 8 foram unanimemente aprovados; os demais variaram entre 60% e 80%. A dimensão cognitiva teve dez itens plenamente validados, enquanto os outros sugerem ajustes. A dimensão emocional/comportamental manteve desempenho alto, com seis itens aceitos integralmente e dois com 80%. Na dimensão social, três itens receberam total aprovação e dois apresentaram necessidade moderada de revisão. Vinte itens apresentaram menos de 90% de concordância quanto à necessidade de modificação.</w:t>
      </w:r>
    </w:p>
    <w:p w14:paraId="2D4A4EC6"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Por fim, na avaliação semântica, observou-se que a maioria dos itens foi plenamente compreendida. Apenas três itens da dimensão acadêmica, dois da cognitiva e um da social registraram 80% de concordância, enquanto todos os demais atingiram 100%, confirmando a eficácia das adaptações para o contexto brasileiro. Os itens com menos de 90% de concordância foram analisados com cautela, e as sugestões de alteração foram incorporadas e discutidas na Harmonização.</w:t>
      </w:r>
    </w:p>
    <w:p w14:paraId="16BCDB79" w14:textId="77777777" w:rsidR="00EF4E78" w:rsidRPr="00451E72" w:rsidRDefault="00EF4E78" w:rsidP="00EF4E78">
      <w:pPr>
        <w:spacing w:line="360" w:lineRule="auto"/>
        <w:ind w:left="0" w:hanging="2"/>
        <w:jc w:val="both"/>
        <w:rPr>
          <w:rFonts w:ascii="Times New Roman" w:hAnsi="Times New Roman" w:cs="Times New Roman"/>
          <w:b/>
          <w:bCs/>
          <w:sz w:val="24"/>
          <w:szCs w:val="24"/>
        </w:rPr>
      </w:pPr>
      <w:r w:rsidRPr="00451E72">
        <w:rPr>
          <w:rFonts w:ascii="Times New Roman" w:hAnsi="Times New Roman" w:cs="Times New Roman"/>
          <w:b/>
          <w:bCs/>
          <w:sz w:val="24"/>
          <w:szCs w:val="24"/>
        </w:rPr>
        <w:t>Adequação conceitual</w:t>
      </w:r>
    </w:p>
    <w:p w14:paraId="663C66C1"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A adequação conceitual é um passo essencial no desenvolvimento de instrumentos de avaliação, pois é o início dos mecanismos de associação de conceitos abstratos com os indicadores que podem ser observados e mensurados. Embora seja uma etapa essencial, apresenta limitações, por ser um processo subjetivo (Alexandre; </w:t>
      </w:r>
      <w:proofErr w:type="spellStart"/>
      <w:r w:rsidRPr="00451E72">
        <w:rPr>
          <w:rFonts w:ascii="Times New Roman" w:hAnsi="Times New Roman" w:cs="Times New Roman"/>
          <w:sz w:val="24"/>
          <w:szCs w:val="24"/>
        </w:rPr>
        <w:t>Coluci</w:t>
      </w:r>
      <w:proofErr w:type="spellEnd"/>
      <w:r w:rsidRPr="00451E72">
        <w:rPr>
          <w:rFonts w:ascii="Times New Roman" w:hAnsi="Times New Roman" w:cs="Times New Roman"/>
          <w:sz w:val="24"/>
          <w:szCs w:val="24"/>
        </w:rPr>
        <w:t xml:space="preserve">, 2011). </w:t>
      </w:r>
    </w:p>
    <w:p w14:paraId="363EE3FD" w14:textId="77777777" w:rsidR="00EF4E78"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Nessa etapa, foram participantes três juízas, todas Doutoras e pesquisadoras da área da Superdotação, caracterizadas </w:t>
      </w:r>
      <w:r>
        <w:rPr>
          <w:rFonts w:ascii="Times New Roman" w:hAnsi="Times New Roman" w:cs="Times New Roman"/>
          <w:sz w:val="24"/>
          <w:szCs w:val="24"/>
        </w:rPr>
        <w:t>no Quadro</w:t>
      </w:r>
      <w:r w:rsidRPr="00451E72">
        <w:rPr>
          <w:rFonts w:ascii="Times New Roman" w:hAnsi="Times New Roman" w:cs="Times New Roman"/>
          <w:sz w:val="24"/>
          <w:szCs w:val="24"/>
        </w:rPr>
        <w:t xml:space="preserve"> 5. </w:t>
      </w:r>
    </w:p>
    <w:p w14:paraId="25BD2DA3" w14:textId="77777777" w:rsidR="00EF4E78" w:rsidRPr="00451E72" w:rsidRDefault="00EF4E78" w:rsidP="00EF4E78">
      <w:pPr>
        <w:autoSpaceDE w:val="0"/>
        <w:autoSpaceDN w:val="0"/>
        <w:adjustRightInd w:val="0"/>
        <w:spacing w:line="360" w:lineRule="auto"/>
        <w:ind w:left="0" w:hanging="2"/>
        <w:jc w:val="center"/>
        <w:rPr>
          <w:rFonts w:ascii="Times New Roman" w:hAnsi="Times New Roman" w:cs="Times New Roman"/>
          <w:b/>
          <w:bCs/>
        </w:rPr>
      </w:pPr>
      <w:r>
        <w:rPr>
          <w:rFonts w:ascii="Times New Roman" w:hAnsi="Times New Roman" w:cs="Times New Roman"/>
          <w:b/>
          <w:bCs/>
        </w:rPr>
        <w:t>QUADRO</w:t>
      </w:r>
      <w:r w:rsidRPr="00451E72">
        <w:rPr>
          <w:rFonts w:ascii="Times New Roman" w:hAnsi="Times New Roman" w:cs="Times New Roman"/>
          <w:b/>
          <w:bCs/>
        </w:rPr>
        <w:t xml:space="preserve"> 5 </w:t>
      </w:r>
      <w:r w:rsidRPr="00451E72">
        <w:rPr>
          <w:rFonts w:ascii="Times New Roman" w:eastAsia="Times New Roman" w:hAnsi="Times New Roman" w:cs="Times New Roman"/>
        </w:rPr>
        <w:t>–</w:t>
      </w:r>
      <w:r w:rsidRPr="00451E72">
        <w:rPr>
          <w:rFonts w:ascii="Times New Roman" w:hAnsi="Times New Roman" w:cs="Times New Roman"/>
          <w:b/>
          <w:bCs/>
        </w:rPr>
        <w:t xml:space="preserve"> </w:t>
      </w:r>
      <w:r w:rsidRPr="00451E72">
        <w:rPr>
          <w:rFonts w:ascii="Times New Roman" w:hAnsi="Times New Roman" w:cs="Times New Roman"/>
        </w:rPr>
        <w:t>Caracterização das juízas da adequação conceitual</w:t>
      </w:r>
    </w:p>
    <w:tbl>
      <w:tblPr>
        <w:tblStyle w:val="Tabelacomgrade"/>
        <w:tblW w:w="0" w:type="auto"/>
        <w:tblLook w:val="04A0" w:firstRow="1" w:lastRow="0" w:firstColumn="1" w:lastColumn="0" w:noHBand="0" w:noVBand="1"/>
      </w:tblPr>
      <w:tblGrid>
        <w:gridCol w:w="1092"/>
        <w:gridCol w:w="7972"/>
      </w:tblGrid>
      <w:tr w:rsidR="00EF4E78" w:rsidRPr="00451E72" w14:paraId="13DA8DDE" w14:textId="77777777">
        <w:tc>
          <w:tcPr>
            <w:tcW w:w="1101" w:type="dxa"/>
            <w:vAlign w:val="center"/>
          </w:tcPr>
          <w:p w14:paraId="658CA00D"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Juíza 1</w:t>
            </w:r>
          </w:p>
        </w:tc>
        <w:tc>
          <w:tcPr>
            <w:tcW w:w="8110" w:type="dxa"/>
          </w:tcPr>
          <w:p w14:paraId="5EE50AC2"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 xml:space="preserve">Bacharel em Artes Plásticas, Mestra e Doutora em Educação, especialista em Altas Habilidades. Docente na </w:t>
            </w:r>
            <w:proofErr w:type="spellStart"/>
            <w:r w:rsidRPr="00451E72">
              <w:rPr>
                <w:rFonts w:ascii="Times New Roman" w:hAnsi="Times New Roman" w:cs="Times New Roman"/>
              </w:rPr>
              <w:t>Universidad</w:t>
            </w:r>
            <w:proofErr w:type="spellEnd"/>
            <w:r w:rsidRPr="00451E72">
              <w:rPr>
                <w:rFonts w:ascii="Times New Roman" w:hAnsi="Times New Roman" w:cs="Times New Roman"/>
              </w:rPr>
              <w:t xml:space="preserve"> de Montevideo e na UDE, coordenadora do curso de Especialização em Educação Inclusiva para Altas Habilidades.</w:t>
            </w:r>
          </w:p>
        </w:tc>
      </w:tr>
      <w:tr w:rsidR="00EF4E78" w:rsidRPr="00451E72" w14:paraId="7D9A69F6" w14:textId="77777777">
        <w:tc>
          <w:tcPr>
            <w:tcW w:w="1101" w:type="dxa"/>
            <w:vAlign w:val="center"/>
          </w:tcPr>
          <w:p w14:paraId="42814BE0"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Juíza 2</w:t>
            </w:r>
          </w:p>
        </w:tc>
        <w:tc>
          <w:tcPr>
            <w:tcW w:w="8110" w:type="dxa"/>
          </w:tcPr>
          <w:p w14:paraId="75489C20"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Psicóloga, Mestra e Doutora em Psicologia do Desenvolvimento, especialista em Educação Especial e Altas Habilidades. Docente de pós-graduação.</w:t>
            </w:r>
          </w:p>
        </w:tc>
      </w:tr>
      <w:tr w:rsidR="00EF4E78" w:rsidRPr="00451E72" w14:paraId="25F4F0E2" w14:textId="77777777">
        <w:tc>
          <w:tcPr>
            <w:tcW w:w="1101" w:type="dxa"/>
            <w:vAlign w:val="center"/>
          </w:tcPr>
          <w:p w14:paraId="27E009C4"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lastRenderedPageBreak/>
              <w:t>Juíza 3</w:t>
            </w:r>
          </w:p>
        </w:tc>
        <w:tc>
          <w:tcPr>
            <w:tcW w:w="8110" w:type="dxa"/>
          </w:tcPr>
          <w:p w14:paraId="58E3605F"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 xml:space="preserve">Psicóloga, Mestra, Doutora, </w:t>
            </w:r>
            <w:proofErr w:type="spellStart"/>
            <w:r w:rsidRPr="00451E72">
              <w:rPr>
                <w:rFonts w:ascii="Times New Roman" w:hAnsi="Times New Roman" w:cs="Times New Roman"/>
              </w:rPr>
              <w:t>Pós-doutora</w:t>
            </w:r>
            <w:proofErr w:type="spellEnd"/>
            <w:r w:rsidRPr="00451E72">
              <w:rPr>
                <w:rFonts w:ascii="Times New Roman" w:hAnsi="Times New Roman" w:cs="Times New Roman"/>
              </w:rPr>
              <w:t xml:space="preserve"> e </w:t>
            </w:r>
            <w:proofErr w:type="spellStart"/>
            <w:r w:rsidRPr="00451E72">
              <w:rPr>
                <w:rFonts w:ascii="Times New Roman" w:hAnsi="Times New Roman" w:cs="Times New Roman"/>
              </w:rPr>
              <w:t>visiting</w:t>
            </w:r>
            <w:proofErr w:type="spellEnd"/>
            <w:r w:rsidRPr="00451E72">
              <w:rPr>
                <w:rFonts w:ascii="Times New Roman" w:hAnsi="Times New Roman" w:cs="Times New Roman"/>
              </w:rPr>
              <w:t xml:space="preserve"> scholar na </w:t>
            </w:r>
            <w:proofErr w:type="spellStart"/>
            <w:r w:rsidRPr="00451E72">
              <w:rPr>
                <w:rFonts w:ascii="Times New Roman" w:hAnsi="Times New Roman" w:cs="Times New Roman"/>
              </w:rPr>
              <w:t>University</w:t>
            </w:r>
            <w:proofErr w:type="spellEnd"/>
            <w:r w:rsidRPr="00451E72">
              <w:rPr>
                <w:rFonts w:ascii="Times New Roman" w:hAnsi="Times New Roman" w:cs="Times New Roman"/>
              </w:rPr>
              <w:t xml:space="preserve"> </w:t>
            </w:r>
            <w:proofErr w:type="spellStart"/>
            <w:r w:rsidRPr="00451E72">
              <w:rPr>
                <w:rFonts w:ascii="Times New Roman" w:hAnsi="Times New Roman" w:cs="Times New Roman"/>
              </w:rPr>
              <w:t>of</w:t>
            </w:r>
            <w:proofErr w:type="spellEnd"/>
            <w:r w:rsidRPr="00451E72">
              <w:rPr>
                <w:rFonts w:ascii="Times New Roman" w:hAnsi="Times New Roman" w:cs="Times New Roman"/>
              </w:rPr>
              <w:t xml:space="preserve"> California – Berkeley. Docente da Pontifícia Universidade Católica- Campinas. </w:t>
            </w:r>
          </w:p>
        </w:tc>
      </w:tr>
    </w:tbl>
    <w:p w14:paraId="40C9D5CF" w14:textId="77777777" w:rsidR="00EF4E78" w:rsidRPr="007B5652" w:rsidRDefault="00EF4E78" w:rsidP="00EF4E78">
      <w:pPr>
        <w:autoSpaceDE w:val="0"/>
        <w:autoSpaceDN w:val="0"/>
        <w:adjustRightInd w:val="0"/>
        <w:spacing w:line="360" w:lineRule="auto"/>
        <w:ind w:left="0" w:hanging="2"/>
        <w:jc w:val="center"/>
        <w:rPr>
          <w:rFonts w:ascii="Times New Roman" w:hAnsi="Times New Roman" w:cs="Times New Roman"/>
        </w:rPr>
      </w:pPr>
      <w:r w:rsidRPr="007B5652">
        <w:rPr>
          <w:rFonts w:ascii="Times New Roman" w:hAnsi="Times New Roman" w:cs="Times New Roman"/>
        </w:rPr>
        <w:t>Fonte: elaboração própria, 2025.</w:t>
      </w:r>
    </w:p>
    <w:p w14:paraId="1A1C3986" w14:textId="77777777" w:rsidR="00EF4E78" w:rsidRPr="00451E72" w:rsidRDefault="00EF4E78" w:rsidP="00EF4E78">
      <w:pPr>
        <w:spacing w:line="360" w:lineRule="auto"/>
        <w:ind w:left="0" w:hanging="2"/>
        <w:rPr>
          <w:rFonts w:ascii="Times New Roman" w:hAnsi="Times New Roman" w:cs="Times New Roman"/>
          <w:sz w:val="24"/>
          <w:szCs w:val="24"/>
        </w:rPr>
      </w:pPr>
      <w:r w:rsidRPr="00451E72">
        <w:rPr>
          <w:rFonts w:ascii="Times New Roman" w:hAnsi="Times New Roman" w:cs="Times New Roman"/>
          <w:sz w:val="24"/>
          <w:szCs w:val="24"/>
        </w:rPr>
        <w:tab/>
        <w:t xml:space="preserve">Foi enviado um e-mail de contato com um documento contendo as instruções para preenchimento, juntamente com os itens do instrumento a serem adequados conceitualmente. </w:t>
      </w:r>
    </w:p>
    <w:p w14:paraId="47D77C8E"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Instruções: Olá. Abaixo você encontrará os itens de um instrumento que avalia a Dupla Excepcionalidade – Superdotação e TDAH, em crianças e adolescentes. Gostaríamos de saber a sua opinião sobre o processo de adaptação dos itens. O item está bem adaptado? É realmente relevante para o instrumento? O item precisa ser modificado? Caso seja necessário, por favor, </w:t>
      </w:r>
      <w:proofErr w:type="gramStart"/>
      <w:r w:rsidRPr="00451E72">
        <w:rPr>
          <w:rFonts w:ascii="Times New Roman" w:hAnsi="Times New Roman" w:cs="Times New Roman"/>
          <w:sz w:val="24"/>
          <w:szCs w:val="24"/>
        </w:rPr>
        <w:t>nos informe</w:t>
      </w:r>
      <w:proofErr w:type="gramEnd"/>
      <w:r w:rsidRPr="00451E72">
        <w:rPr>
          <w:rFonts w:ascii="Times New Roman" w:hAnsi="Times New Roman" w:cs="Times New Roman"/>
          <w:sz w:val="24"/>
          <w:szCs w:val="24"/>
        </w:rPr>
        <w:t xml:space="preserve"> como o item poderia ser melhorado. </w:t>
      </w:r>
    </w:p>
    <w:p w14:paraId="30D23A3D"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 qualidade da adaptação dos itens foi avaliada por meio da pergunta “O item está bem adaptado?”, revelando forte validação por parte dos juízes. A maioria dos itens apresentou Índice de Validação de Conteúdo (IVC) de 1,00, indicando consenso quanto à adequação. Na dimensão acadêmica, quatro itens obtiveram IVC de 1,00, enquanto os demais variaram entre 0,33 e 0,67, sinalizando necessidade de ajustes. Na dimensão cognitiva, 16 dos 18 itens atingiram IVC máximo, exceto os itens 8 (0,33) e 18 (0,67). Na dimensão emocional/comportamental, seis itens alcançaram IVC de 1,00, e dois obtiveram 0,67. A dimensão social apresentou desempenho superior, com todos os itens validados com IVC de 1,00. No total, oito itens obtiveram IVC inferior a 0,90, indicando que, embora o instrumento apresente alta qualidade, ajustes pontuais podem aprimorá-lo.</w:t>
      </w:r>
    </w:p>
    <w:p w14:paraId="0C110A29"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 relevância dos itens também foi avaliada. A maioria foi considerada altamente pertinente, com IVC de 1,00. Apenas nove itens apresentaram IVC de 0,67, sendo um na dimensão acadêmica, três na cognitiva, três na emocional/comportamental e dois na social, apontando para revisão pontual de sua formulação.</w:t>
      </w:r>
    </w:p>
    <w:p w14:paraId="04BF6BC3" w14:textId="77777777" w:rsidR="00EF4E78"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 necessidade de modificação foi analisada e seis itens obtiveram IVC de 0,33, indicando maior urgência de revisão. Outros 13 itens tiveram IVC de 0,67. No total, 19 itens apresentaram IVC abaixo de 0,90 nesse aspecto. Ainda assim, a maioria (20</w:t>
      </w:r>
      <w:proofErr w:type="gramStart"/>
      <w:r w:rsidRPr="00451E72">
        <w:rPr>
          <w:rFonts w:ascii="Times New Roman" w:hAnsi="Times New Roman" w:cs="Times New Roman"/>
          <w:sz w:val="24"/>
          <w:szCs w:val="24"/>
        </w:rPr>
        <w:t>)  superou</w:t>
      </w:r>
      <w:proofErr w:type="gramEnd"/>
      <w:r w:rsidRPr="00451E72">
        <w:rPr>
          <w:rFonts w:ascii="Times New Roman" w:hAnsi="Times New Roman" w:cs="Times New Roman"/>
          <w:sz w:val="24"/>
          <w:szCs w:val="24"/>
        </w:rPr>
        <w:t xml:space="preserve"> esse patamar, confirmando a validade geral do instrumento. Não houve exclusão de itens com menor concordância; porém, os itens com menor escore foram analisados com mais cautela, e sugestões de alteração foram incorporadas e discutidas na harmonização, reforçando a adequação conceitual e semântica do material ao contexto brasileiro.</w:t>
      </w:r>
    </w:p>
    <w:p w14:paraId="3E95D967"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b/>
          <w:bCs/>
          <w:sz w:val="24"/>
          <w:szCs w:val="24"/>
        </w:rPr>
        <w:t>Harmonização</w:t>
      </w:r>
    </w:p>
    <w:p w14:paraId="15C21BCA"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lastRenderedPageBreak/>
        <w:t>Nessa fase, realizou-se um procedimento de harmonização do instrumento, com vistas à padronização dos itens e última tomada de decisões antes dos estudos de campo. Essa etapa foi implementada com a finalidade de detectar qualquer discrepância nas traduções e nas diferentes versões da adaptação, o que oferece maior controle da qualidade ao instrumento.</w:t>
      </w:r>
    </w:p>
    <w:p w14:paraId="52B0BFEA"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A harmonização foi realizada conforme os princípios do protocolo da ISPOR </w:t>
      </w:r>
      <w:r w:rsidRPr="00451E72">
        <w:rPr>
          <w:rFonts w:ascii="Times New Roman" w:hAnsi="Times New Roman" w:cs="Times New Roman"/>
          <w:i/>
          <w:iCs/>
          <w:sz w:val="24"/>
          <w:szCs w:val="24"/>
        </w:rPr>
        <w:t xml:space="preserve">Task Force for </w:t>
      </w:r>
      <w:proofErr w:type="spellStart"/>
      <w:r w:rsidRPr="00451E72">
        <w:rPr>
          <w:rFonts w:ascii="Times New Roman" w:hAnsi="Times New Roman" w:cs="Times New Roman"/>
          <w:i/>
          <w:iCs/>
          <w:sz w:val="24"/>
          <w:szCs w:val="24"/>
        </w:rPr>
        <w:t>Translation</w:t>
      </w:r>
      <w:proofErr w:type="spellEnd"/>
      <w:r w:rsidRPr="00451E72">
        <w:rPr>
          <w:rFonts w:ascii="Times New Roman" w:hAnsi="Times New Roman" w:cs="Times New Roman"/>
          <w:i/>
          <w:iCs/>
          <w:sz w:val="24"/>
          <w:szCs w:val="24"/>
        </w:rPr>
        <w:t xml:space="preserve"> </w:t>
      </w:r>
      <w:proofErr w:type="spellStart"/>
      <w:r w:rsidRPr="00451E72">
        <w:rPr>
          <w:rFonts w:ascii="Times New Roman" w:hAnsi="Times New Roman" w:cs="Times New Roman"/>
          <w:i/>
          <w:iCs/>
          <w:sz w:val="24"/>
          <w:szCs w:val="24"/>
        </w:rPr>
        <w:t>and</w:t>
      </w:r>
      <w:proofErr w:type="spellEnd"/>
      <w:r w:rsidRPr="00451E72">
        <w:rPr>
          <w:rFonts w:ascii="Times New Roman" w:hAnsi="Times New Roman" w:cs="Times New Roman"/>
          <w:i/>
          <w:iCs/>
          <w:sz w:val="24"/>
          <w:szCs w:val="24"/>
        </w:rPr>
        <w:t xml:space="preserve"> Cultural </w:t>
      </w:r>
      <w:proofErr w:type="spellStart"/>
      <w:r w:rsidRPr="00451E72">
        <w:rPr>
          <w:rFonts w:ascii="Times New Roman" w:hAnsi="Times New Roman" w:cs="Times New Roman"/>
          <w:i/>
          <w:iCs/>
          <w:sz w:val="24"/>
          <w:szCs w:val="24"/>
        </w:rPr>
        <w:t>Adaptation</w:t>
      </w:r>
      <w:proofErr w:type="spellEnd"/>
      <w:r w:rsidRPr="00451E72">
        <w:rPr>
          <w:rFonts w:ascii="Times New Roman" w:hAnsi="Times New Roman" w:cs="Times New Roman"/>
          <w:sz w:val="24"/>
          <w:szCs w:val="24"/>
        </w:rPr>
        <w:t xml:space="preserve"> (Wild </w:t>
      </w:r>
      <w:r w:rsidRPr="00451E72">
        <w:rPr>
          <w:rFonts w:ascii="Times New Roman" w:hAnsi="Times New Roman" w:cs="Times New Roman"/>
          <w:i/>
          <w:iCs/>
          <w:sz w:val="24"/>
          <w:szCs w:val="24"/>
        </w:rPr>
        <w:t>et al.</w:t>
      </w:r>
      <w:r w:rsidRPr="00451E72">
        <w:rPr>
          <w:rFonts w:ascii="Times New Roman" w:hAnsi="Times New Roman" w:cs="Times New Roman"/>
          <w:sz w:val="24"/>
          <w:szCs w:val="24"/>
        </w:rPr>
        <w:t>, 2005), reconhecido internacionalmente por estabelecer boas práticas na adaptação de medidas.</w:t>
      </w:r>
    </w:p>
    <w:p w14:paraId="61BF624D" w14:textId="77777777" w:rsidR="00EF4E78"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Foram participantes seis profissionais, caracterizados </w:t>
      </w:r>
      <w:r>
        <w:rPr>
          <w:rFonts w:ascii="Times New Roman" w:hAnsi="Times New Roman" w:cs="Times New Roman"/>
          <w:sz w:val="24"/>
          <w:szCs w:val="24"/>
        </w:rPr>
        <w:t>no Quadro</w:t>
      </w:r>
      <w:r w:rsidRPr="00451E72">
        <w:rPr>
          <w:rFonts w:ascii="Times New Roman" w:hAnsi="Times New Roman" w:cs="Times New Roman"/>
          <w:sz w:val="24"/>
          <w:szCs w:val="24"/>
        </w:rPr>
        <w:t xml:space="preserve"> 6:</w:t>
      </w:r>
    </w:p>
    <w:p w14:paraId="062B0C34" w14:textId="77777777" w:rsidR="00EF4E78" w:rsidRPr="00451E72" w:rsidRDefault="00EF4E78" w:rsidP="00EF4E78">
      <w:pPr>
        <w:autoSpaceDE w:val="0"/>
        <w:autoSpaceDN w:val="0"/>
        <w:adjustRightInd w:val="0"/>
        <w:spacing w:line="360" w:lineRule="auto"/>
        <w:ind w:left="0" w:hanging="2"/>
        <w:jc w:val="center"/>
        <w:rPr>
          <w:rFonts w:ascii="Times New Roman" w:hAnsi="Times New Roman" w:cs="Times New Roman"/>
        </w:rPr>
      </w:pPr>
      <w:r>
        <w:rPr>
          <w:rFonts w:ascii="Times New Roman" w:hAnsi="Times New Roman" w:cs="Times New Roman"/>
          <w:b/>
          <w:bCs/>
        </w:rPr>
        <w:t>QUADRO</w:t>
      </w:r>
      <w:r w:rsidRPr="00451E72">
        <w:rPr>
          <w:rFonts w:ascii="Times New Roman" w:hAnsi="Times New Roman" w:cs="Times New Roman"/>
          <w:b/>
          <w:bCs/>
        </w:rPr>
        <w:t xml:space="preserve"> 6 </w:t>
      </w:r>
      <w:r w:rsidRPr="00451E72">
        <w:rPr>
          <w:rFonts w:ascii="Times New Roman" w:eastAsia="Times New Roman" w:hAnsi="Times New Roman" w:cs="Times New Roman"/>
        </w:rPr>
        <w:t>–</w:t>
      </w:r>
      <w:r w:rsidRPr="00451E72">
        <w:rPr>
          <w:rFonts w:ascii="Times New Roman" w:hAnsi="Times New Roman" w:cs="Times New Roman"/>
          <w:b/>
          <w:bCs/>
        </w:rPr>
        <w:t xml:space="preserve"> </w:t>
      </w:r>
      <w:r w:rsidRPr="00451E72">
        <w:rPr>
          <w:rFonts w:ascii="Times New Roman" w:hAnsi="Times New Roman" w:cs="Times New Roman"/>
        </w:rPr>
        <w:t>Caracterização dos juízes da harmonização</w:t>
      </w:r>
    </w:p>
    <w:tbl>
      <w:tblPr>
        <w:tblStyle w:val="Tabelacomgrade"/>
        <w:tblW w:w="0" w:type="auto"/>
        <w:jc w:val="center"/>
        <w:tblLook w:val="04A0" w:firstRow="1" w:lastRow="0" w:firstColumn="1" w:lastColumn="0" w:noHBand="0" w:noVBand="1"/>
      </w:tblPr>
      <w:tblGrid>
        <w:gridCol w:w="1093"/>
        <w:gridCol w:w="7968"/>
      </w:tblGrid>
      <w:tr w:rsidR="00EF4E78" w:rsidRPr="00451E72" w14:paraId="76FAD797" w14:textId="77777777">
        <w:trPr>
          <w:jc w:val="center"/>
        </w:trPr>
        <w:tc>
          <w:tcPr>
            <w:tcW w:w="1093" w:type="dxa"/>
            <w:vAlign w:val="center"/>
          </w:tcPr>
          <w:p w14:paraId="3C7FCD68"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Juiz 1</w:t>
            </w:r>
          </w:p>
        </w:tc>
        <w:tc>
          <w:tcPr>
            <w:tcW w:w="7968" w:type="dxa"/>
          </w:tcPr>
          <w:p w14:paraId="0DF7D032" w14:textId="77777777" w:rsidR="00EF4E78" w:rsidRPr="00451E72" w:rsidRDefault="00EF4E78">
            <w:pPr>
              <w:autoSpaceDE w:val="0"/>
              <w:autoSpaceDN w:val="0"/>
              <w:adjustRightInd w:val="0"/>
              <w:spacing w:line="360" w:lineRule="auto"/>
              <w:ind w:left="0" w:hanging="2"/>
              <w:jc w:val="both"/>
              <w:rPr>
                <w:rFonts w:ascii="Times New Roman" w:eastAsia="Calibri" w:hAnsi="Times New Roman" w:cs="Times New Roman"/>
              </w:rPr>
            </w:pPr>
            <w:r w:rsidRPr="00451E72">
              <w:rPr>
                <w:rFonts w:ascii="Times New Roman" w:eastAsia="Calibri" w:hAnsi="Times New Roman" w:cs="Times New Roman"/>
              </w:rPr>
              <w:t xml:space="preserve">Psicólogo, Mestre e Doutor em Psicologia Experimental pela Universidade de São Paulo- USP. Livre-docente em Educação Especial, atuou como Docente Titular e, </w:t>
            </w:r>
            <w:proofErr w:type="gramStart"/>
            <w:r w:rsidRPr="00451E72">
              <w:rPr>
                <w:rFonts w:ascii="Times New Roman" w:eastAsia="Calibri" w:hAnsi="Times New Roman" w:cs="Times New Roman"/>
              </w:rPr>
              <w:t>Adjunto</w:t>
            </w:r>
            <w:proofErr w:type="gramEnd"/>
            <w:r w:rsidRPr="00451E72">
              <w:rPr>
                <w:rFonts w:ascii="Times New Roman" w:eastAsia="Calibri" w:hAnsi="Times New Roman" w:cs="Times New Roman"/>
              </w:rPr>
              <w:t xml:space="preserve"> na </w:t>
            </w:r>
            <w:r w:rsidRPr="00451E72">
              <w:rPr>
                <w:rFonts w:ascii="Times New Roman" w:hAnsi="Times New Roman" w:cs="Times New Roman"/>
              </w:rPr>
              <w:t xml:space="preserve">Universidade Estadual Paulista- UNESP. </w:t>
            </w:r>
          </w:p>
        </w:tc>
      </w:tr>
      <w:tr w:rsidR="00EF4E78" w:rsidRPr="00451E72" w14:paraId="20E1CF16" w14:textId="77777777">
        <w:trPr>
          <w:jc w:val="center"/>
        </w:trPr>
        <w:tc>
          <w:tcPr>
            <w:tcW w:w="1093" w:type="dxa"/>
            <w:vAlign w:val="center"/>
          </w:tcPr>
          <w:p w14:paraId="102DBC5C"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Juíza 2</w:t>
            </w:r>
          </w:p>
        </w:tc>
        <w:tc>
          <w:tcPr>
            <w:tcW w:w="7968" w:type="dxa"/>
          </w:tcPr>
          <w:p w14:paraId="459FDCAE"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 xml:space="preserve">Psicóloga, Mestra, Doutora e </w:t>
            </w:r>
            <w:proofErr w:type="spellStart"/>
            <w:r w:rsidRPr="00451E72">
              <w:rPr>
                <w:rFonts w:ascii="Times New Roman" w:hAnsi="Times New Roman" w:cs="Times New Roman"/>
              </w:rPr>
              <w:t>Pós-doutora</w:t>
            </w:r>
            <w:proofErr w:type="spellEnd"/>
            <w:r w:rsidRPr="00451E72">
              <w:rPr>
                <w:rFonts w:ascii="Times New Roman" w:hAnsi="Times New Roman" w:cs="Times New Roman"/>
              </w:rPr>
              <w:t xml:space="preserve"> em Educação Especial. Docente na Universidade Estadual Paulista- UNESP. </w:t>
            </w:r>
          </w:p>
        </w:tc>
      </w:tr>
      <w:tr w:rsidR="00EF4E78" w:rsidRPr="00451E72" w14:paraId="3739F5E3" w14:textId="77777777">
        <w:trPr>
          <w:trHeight w:val="77"/>
          <w:jc w:val="center"/>
        </w:trPr>
        <w:tc>
          <w:tcPr>
            <w:tcW w:w="1093" w:type="dxa"/>
            <w:vAlign w:val="center"/>
          </w:tcPr>
          <w:p w14:paraId="11D24A99"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Juíza 3</w:t>
            </w:r>
          </w:p>
        </w:tc>
        <w:tc>
          <w:tcPr>
            <w:tcW w:w="7968" w:type="dxa"/>
          </w:tcPr>
          <w:p w14:paraId="4B848D9F"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Pedagoga, Mestra e Doutora em Educação Especial. Especialista em Atendimento Educacional Especializado e Psicopedagogia. Docente na Universidade Estadual Paulista- UNESP.</w:t>
            </w:r>
          </w:p>
        </w:tc>
      </w:tr>
      <w:tr w:rsidR="00EF4E78" w:rsidRPr="00451E72" w14:paraId="1034F5FA" w14:textId="77777777">
        <w:trPr>
          <w:jc w:val="center"/>
        </w:trPr>
        <w:tc>
          <w:tcPr>
            <w:tcW w:w="1093" w:type="dxa"/>
            <w:vAlign w:val="center"/>
          </w:tcPr>
          <w:p w14:paraId="459AD93C"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Juíza 4</w:t>
            </w:r>
          </w:p>
        </w:tc>
        <w:tc>
          <w:tcPr>
            <w:tcW w:w="7968" w:type="dxa"/>
          </w:tcPr>
          <w:p w14:paraId="608CAF7B" w14:textId="77777777" w:rsidR="00EF4E78" w:rsidRPr="00451E72" w:rsidRDefault="00EF4E78">
            <w:pPr>
              <w:autoSpaceDE w:val="0"/>
              <w:autoSpaceDN w:val="0"/>
              <w:adjustRightInd w:val="0"/>
              <w:spacing w:line="360" w:lineRule="auto"/>
              <w:ind w:left="0" w:hanging="2"/>
              <w:jc w:val="both"/>
              <w:rPr>
                <w:rFonts w:ascii="Times New Roman" w:hAnsi="Times New Roman" w:cs="Times New Roman"/>
              </w:rPr>
            </w:pPr>
            <w:r w:rsidRPr="00451E72">
              <w:rPr>
                <w:rFonts w:ascii="Times New Roman" w:hAnsi="Times New Roman" w:cs="Times New Roman"/>
              </w:rPr>
              <w:t xml:space="preserve">Diretora de empresa focada em atendimento educacional para crianças com necessidades especiais. Pedagoga, Mestra em Filosofia, Doutora e </w:t>
            </w:r>
            <w:proofErr w:type="spellStart"/>
            <w:r w:rsidRPr="00451E72">
              <w:rPr>
                <w:rFonts w:ascii="Times New Roman" w:hAnsi="Times New Roman" w:cs="Times New Roman"/>
              </w:rPr>
              <w:t>pós-doutora</w:t>
            </w:r>
            <w:proofErr w:type="spellEnd"/>
            <w:r w:rsidRPr="00451E72">
              <w:rPr>
                <w:rFonts w:ascii="Times New Roman" w:hAnsi="Times New Roman" w:cs="Times New Roman"/>
              </w:rPr>
              <w:t xml:space="preserve"> em Educação pela Universidade Estadual Paulista- UNESP.</w:t>
            </w:r>
          </w:p>
        </w:tc>
      </w:tr>
      <w:tr w:rsidR="00EF4E78" w:rsidRPr="00451E72" w14:paraId="3662CCCB" w14:textId="77777777">
        <w:trPr>
          <w:jc w:val="center"/>
        </w:trPr>
        <w:tc>
          <w:tcPr>
            <w:tcW w:w="1093" w:type="dxa"/>
            <w:vAlign w:val="center"/>
          </w:tcPr>
          <w:p w14:paraId="5ACD27B3"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Juíza 5</w:t>
            </w:r>
          </w:p>
        </w:tc>
        <w:tc>
          <w:tcPr>
            <w:tcW w:w="7968" w:type="dxa"/>
          </w:tcPr>
          <w:p w14:paraId="0B78DA7E" w14:textId="77777777" w:rsidR="00EF4E78" w:rsidRPr="00451E72" w:rsidRDefault="00EF4E78">
            <w:pPr>
              <w:autoSpaceDE w:val="0"/>
              <w:autoSpaceDN w:val="0"/>
              <w:adjustRightInd w:val="0"/>
              <w:spacing w:line="360" w:lineRule="auto"/>
              <w:ind w:left="0" w:hanging="2"/>
              <w:jc w:val="both"/>
              <w:rPr>
                <w:rFonts w:ascii="Times New Roman" w:eastAsia="Calibri" w:hAnsi="Times New Roman" w:cs="Times New Roman"/>
              </w:rPr>
            </w:pPr>
            <w:r w:rsidRPr="00451E72">
              <w:rPr>
                <w:rFonts w:ascii="Times New Roman" w:hAnsi="Times New Roman" w:cs="Times New Roman"/>
              </w:rPr>
              <w:t xml:space="preserve">Pedagoga, Psicóloga, Mestra e Doutora em Educação pela Universidade Estadual Paulista- UNESP. Docente associada na UFV. </w:t>
            </w:r>
          </w:p>
        </w:tc>
      </w:tr>
      <w:tr w:rsidR="00EF4E78" w:rsidRPr="00451E72" w14:paraId="3F944EDB" w14:textId="77777777">
        <w:trPr>
          <w:jc w:val="center"/>
        </w:trPr>
        <w:tc>
          <w:tcPr>
            <w:tcW w:w="1093" w:type="dxa"/>
            <w:vAlign w:val="center"/>
          </w:tcPr>
          <w:p w14:paraId="07576A5B" w14:textId="77777777" w:rsidR="00EF4E78" w:rsidRPr="00451E72" w:rsidRDefault="00EF4E78">
            <w:pPr>
              <w:autoSpaceDE w:val="0"/>
              <w:autoSpaceDN w:val="0"/>
              <w:adjustRightInd w:val="0"/>
              <w:spacing w:line="360" w:lineRule="auto"/>
              <w:ind w:left="0" w:hanging="2"/>
              <w:jc w:val="center"/>
              <w:rPr>
                <w:rFonts w:ascii="Times New Roman" w:eastAsia="Calibri" w:hAnsi="Times New Roman" w:cs="Times New Roman"/>
              </w:rPr>
            </w:pPr>
            <w:r w:rsidRPr="00451E72">
              <w:rPr>
                <w:rFonts w:ascii="Times New Roman" w:eastAsia="Calibri" w:hAnsi="Times New Roman" w:cs="Times New Roman"/>
              </w:rPr>
              <w:t>Juíza 6</w:t>
            </w:r>
          </w:p>
        </w:tc>
        <w:tc>
          <w:tcPr>
            <w:tcW w:w="7968" w:type="dxa"/>
          </w:tcPr>
          <w:p w14:paraId="3F97DA09" w14:textId="77777777" w:rsidR="00EF4E78" w:rsidRPr="00451E72" w:rsidRDefault="00EF4E78">
            <w:pPr>
              <w:autoSpaceDE w:val="0"/>
              <w:autoSpaceDN w:val="0"/>
              <w:adjustRightInd w:val="0"/>
              <w:spacing w:line="360" w:lineRule="auto"/>
              <w:ind w:left="0" w:hanging="2"/>
              <w:jc w:val="both"/>
              <w:rPr>
                <w:rFonts w:ascii="Times New Roman" w:eastAsia="Calibri" w:hAnsi="Times New Roman" w:cs="Times New Roman"/>
              </w:rPr>
            </w:pPr>
            <w:r w:rsidRPr="00451E72">
              <w:rPr>
                <w:rFonts w:ascii="Times New Roman" w:hAnsi="Times New Roman" w:cs="Times New Roman"/>
              </w:rPr>
              <w:t xml:space="preserve">Odontóloga, especialista em Educação Especial e Deficiência Auditiva. Mestra e Doutora em Educação pela Universidade Estadual Paulista- UNESP. Docente de Libras. </w:t>
            </w:r>
          </w:p>
        </w:tc>
      </w:tr>
    </w:tbl>
    <w:p w14:paraId="37A1FB41" w14:textId="77777777" w:rsidR="00EF4E78" w:rsidRPr="007B5652" w:rsidRDefault="00EF4E78" w:rsidP="00EF4E78">
      <w:pPr>
        <w:autoSpaceDE w:val="0"/>
        <w:autoSpaceDN w:val="0"/>
        <w:adjustRightInd w:val="0"/>
        <w:spacing w:line="360" w:lineRule="auto"/>
        <w:ind w:left="0" w:hanging="2"/>
        <w:jc w:val="center"/>
        <w:rPr>
          <w:rFonts w:ascii="Times New Roman" w:hAnsi="Times New Roman" w:cs="Times New Roman"/>
        </w:rPr>
      </w:pPr>
      <w:r w:rsidRPr="007B5652">
        <w:rPr>
          <w:rFonts w:ascii="Times New Roman" w:hAnsi="Times New Roman" w:cs="Times New Roman"/>
        </w:rPr>
        <w:t>Fonte: elaboração própria, 2025.</w:t>
      </w:r>
    </w:p>
    <w:p w14:paraId="5C30C254"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ab/>
        <w:t xml:space="preserve">Apresentados os participantes, será feita, neste ponto, a explicitação dos motivos das escolhas redacionais pós-harmonização. </w:t>
      </w:r>
    </w:p>
    <w:p w14:paraId="559C08ED"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b/>
          <w:bCs/>
          <w:sz w:val="24"/>
          <w:szCs w:val="24"/>
        </w:rPr>
      </w:pPr>
      <w:r w:rsidRPr="00451E72">
        <w:rPr>
          <w:rFonts w:ascii="Times New Roman" w:hAnsi="Times New Roman" w:cs="Times New Roman"/>
          <w:b/>
          <w:bCs/>
          <w:sz w:val="24"/>
          <w:szCs w:val="24"/>
        </w:rPr>
        <w:t>Conciliação</w:t>
      </w:r>
    </w:p>
    <w:p w14:paraId="5E0F41F7"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Com relação ao título, no instrumento original “Escala para </w:t>
      </w:r>
      <w:proofErr w:type="spellStart"/>
      <w:r w:rsidRPr="00451E72">
        <w:rPr>
          <w:rFonts w:ascii="Times New Roman" w:hAnsi="Times New Roman" w:cs="Times New Roman"/>
          <w:sz w:val="24"/>
          <w:szCs w:val="24"/>
        </w:rPr>
        <w:t>la</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Identificación</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Estudiante</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Doblemente</w:t>
      </w:r>
      <w:proofErr w:type="spellEnd"/>
      <w:r w:rsidRPr="00451E72">
        <w:rPr>
          <w:rFonts w:ascii="Times New Roman" w:hAnsi="Times New Roman" w:cs="Times New Roman"/>
          <w:sz w:val="24"/>
          <w:szCs w:val="24"/>
        </w:rPr>
        <w:t xml:space="preserve"> Excepcional Alta </w:t>
      </w:r>
      <w:proofErr w:type="spellStart"/>
      <w:r w:rsidRPr="00451E72">
        <w:rPr>
          <w:rFonts w:ascii="Times New Roman" w:hAnsi="Times New Roman" w:cs="Times New Roman"/>
          <w:sz w:val="24"/>
          <w:szCs w:val="24"/>
        </w:rPr>
        <w:t>Capacidad</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con</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Trastorno</w:t>
      </w:r>
      <w:proofErr w:type="spellEnd"/>
      <w:r w:rsidRPr="00451E72">
        <w:rPr>
          <w:rFonts w:ascii="Times New Roman" w:hAnsi="Times New Roman" w:cs="Times New Roman"/>
          <w:sz w:val="24"/>
          <w:szCs w:val="24"/>
        </w:rPr>
        <w:t xml:space="preserve"> por Déficit de </w:t>
      </w:r>
      <w:proofErr w:type="spellStart"/>
      <w:r w:rsidRPr="00451E72">
        <w:rPr>
          <w:rFonts w:ascii="Times New Roman" w:hAnsi="Times New Roman" w:cs="Times New Roman"/>
          <w:sz w:val="24"/>
          <w:szCs w:val="24"/>
        </w:rPr>
        <w:t>Atención</w:t>
      </w:r>
      <w:proofErr w:type="spellEnd"/>
      <w:r w:rsidRPr="00451E72">
        <w:rPr>
          <w:rFonts w:ascii="Times New Roman" w:hAnsi="Times New Roman" w:cs="Times New Roman"/>
          <w:sz w:val="24"/>
          <w:szCs w:val="24"/>
        </w:rPr>
        <w:t xml:space="preserve"> (TDAH)”, e traduzido para “Escala para a Identificação do Estudante Duplamente Excepcional Altas Habilidades com Transtorno de Déficit de Atenção (TDAH)”, na versão pós-adequação semântica, após sugestão de uma das juízas do comitê de especialistas para a supressão da sigla </w:t>
      </w:r>
      <w:r w:rsidRPr="00451E72">
        <w:rPr>
          <w:rFonts w:ascii="Times New Roman" w:hAnsi="Times New Roman" w:cs="Times New Roman"/>
          <w:sz w:val="24"/>
          <w:szCs w:val="24"/>
        </w:rPr>
        <w:lastRenderedPageBreak/>
        <w:t xml:space="preserve">TDAH, este se configurou como: “Escala para a Identificação do Estudante Duplamente Excepcional Altas Habilidades com Transtorno de Déficit de Atenção/Hiperatividade”, sendo realizado o </w:t>
      </w:r>
      <w:proofErr w:type="spellStart"/>
      <w:r w:rsidRPr="00451E72">
        <w:rPr>
          <w:rFonts w:ascii="Times New Roman" w:hAnsi="Times New Roman" w:cs="Times New Roman"/>
          <w:sz w:val="24"/>
          <w:szCs w:val="24"/>
        </w:rPr>
        <w:t>flexionamento</w:t>
      </w:r>
      <w:proofErr w:type="spellEnd"/>
      <w:r w:rsidRPr="00451E72">
        <w:rPr>
          <w:rFonts w:ascii="Times New Roman" w:hAnsi="Times New Roman" w:cs="Times New Roman"/>
          <w:sz w:val="24"/>
          <w:szCs w:val="24"/>
        </w:rPr>
        <w:t xml:space="preserve"> de gênero após a harmonização e adicionada a sigla e o hífen, configurando-se em: “Escala para Identificação do(a) Estudante Duplamente Excepcional – Altas Habilidades com Transtorno de Déficit de Atenção/Hiperatividade (EIDEAH/TDAH)”. Uma das juízas da adequação semântica sugeriu a retirada do termo "duplamente excepcional", mas este foi mantido por ser considerado central e importante para o título do instrumento.</w:t>
      </w:r>
    </w:p>
    <w:p w14:paraId="0A6280B8"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Na dimensão acadêmica, diversos itens passaram por ajustes para garantir clareza, coerência e adequação conceitual. O item 1 foi reformulado para “Apresenta iniciativa para aprender atividades de seu interesse”. No item 2, a expressão “[aprender sozinho(a)]” foi incluída na versão preliminar e depois suprimida, mantendo-se o termo “autoaprendizagem”. O item 3 passou de “trabalhar em uma atividade” para “desenvolver tarefas” e especificou-se “tarefas que considera mais fáceis”. No item 5, “habilidades leitoras” foi substituído por “habilidades de leitura”. Expressões como “desempenho acadêmico” e “colegas” substituíram “bons resultados” e “pares”, buscando maior familiaridade com o vocabulário dos professores da educação básica e coerência com os referenciais da área.</w:t>
      </w:r>
    </w:p>
    <w:p w14:paraId="7FF0BA1A"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Na dimensão cognitiva, alterações como “Lê oralmente com fluência” e “de forma efetiva” substituindo “Lê oralmente de forma fluida” e “efetivamente”, bem como “informações novas” em substituição a “novas informações” foram adotadas, mantendo o sentido original e melhorando a fluidez. Algumas explicações adicionais incluídas entre colchetes na tradução foram posteriormente retiradas para evitar sobrecarga de informação. Flexões de gênero foram adicionadas quando cabíveis, e padronizaram-se expressões como “por meio de” no lugar de “através” e “em nível compreensivo”, substituindo “no nível compreensivo”, além da troca de “pares” por “colegas”.</w:t>
      </w:r>
    </w:p>
    <w:p w14:paraId="51207E8A"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Na dimensão emocional/comportamental, a maioria dos itens foi mantida conforme a tradução inicial, com pequenas mudanças como “pares” por “colegas” e “inconformidade” por “inconformismo”. Realizaram-se ainda ajustes gramaticais (uso de crase e tempo verbal), respeitando a norma culta e a naturalidade do idioma.</w:t>
      </w:r>
    </w:p>
    <w:p w14:paraId="66A36127" w14:textId="77777777" w:rsidR="00EF4E78" w:rsidRPr="00451E72"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As principais decisões tomadas durante a fase de harmonização envolveram ajustes de termos para tornar a linguagem mais natural e acessível ao público brasileiro, respeitando as peculiaridades linguísticas do contexto nacional. Optou-se pela remoção de explicações adicionais entre colchetes, visando priorizar a clareza dos itens e ser mais fiel ao instrumento </w:t>
      </w:r>
      <w:r w:rsidRPr="00451E72">
        <w:rPr>
          <w:rFonts w:ascii="Times New Roman" w:hAnsi="Times New Roman" w:cs="Times New Roman"/>
          <w:sz w:val="24"/>
          <w:szCs w:val="24"/>
        </w:rPr>
        <w:lastRenderedPageBreak/>
        <w:t xml:space="preserve">original. Foram ainda realizados </w:t>
      </w:r>
      <w:proofErr w:type="spellStart"/>
      <w:r w:rsidRPr="00451E72">
        <w:rPr>
          <w:rFonts w:ascii="Times New Roman" w:hAnsi="Times New Roman" w:cs="Times New Roman"/>
          <w:sz w:val="24"/>
          <w:szCs w:val="24"/>
        </w:rPr>
        <w:t>flexionamentos</w:t>
      </w:r>
      <w:proofErr w:type="spellEnd"/>
      <w:r w:rsidRPr="00451E72">
        <w:rPr>
          <w:rFonts w:ascii="Times New Roman" w:hAnsi="Times New Roman" w:cs="Times New Roman"/>
          <w:sz w:val="24"/>
          <w:szCs w:val="24"/>
        </w:rPr>
        <w:t xml:space="preserve"> de gênero, conforme necessário, a fim de garantir inclusão e representatividade, como no uso da forma "professores(as)".</w:t>
      </w:r>
    </w:p>
    <w:p w14:paraId="24D2FA06" w14:textId="77777777" w:rsidR="00EF4E78" w:rsidRDefault="00EF4E78" w:rsidP="00EF4E78">
      <w:pPr>
        <w:autoSpaceDE w:val="0"/>
        <w:autoSpaceDN w:val="0"/>
        <w:adjustRightInd w:val="0"/>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A síntese das versões original e pós-harmonização está </w:t>
      </w:r>
      <w:r>
        <w:rPr>
          <w:rFonts w:ascii="Times New Roman" w:hAnsi="Times New Roman" w:cs="Times New Roman"/>
          <w:sz w:val="24"/>
          <w:szCs w:val="24"/>
        </w:rPr>
        <w:t>no Quadro</w:t>
      </w:r>
      <w:r w:rsidRPr="00451E72">
        <w:rPr>
          <w:rFonts w:ascii="Times New Roman" w:hAnsi="Times New Roman" w:cs="Times New Roman"/>
          <w:sz w:val="24"/>
          <w:szCs w:val="24"/>
        </w:rPr>
        <w:t xml:space="preserve"> 7.</w:t>
      </w:r>
    </w:p>
    <w:p w14:paraId="4CCE7E63" w14:textId="77777777" w:rsidR="00EF4E78" w:rsidRDefault="00EF4E78" w:rsidP="00EF4E78">
      <w:pPr>
        <w:ind w:left="0" w:hanging="2"/>
        <w:rPr>
          <w:rFonts w:ascii="Times New Roman" w:hAnsi="Times New Roman" w:cs="Times New Roman"/>
          <w:sz w:val="24"/>
          <w:szCs w:val="24"/>
        </w:rPr>
      </w:pPr>
      <w:r>
        <w:rPr>
          <w:rFonts w:ascii="Times New Roman" w:hAnsi="Times New Roman" w:cs="Times New Roman"/>
          <w:sz w:val="24"/>
          <w:szCs w:val="24"/>
        </w:rPr>
        <w:br w:type="page"/>
      </w:r>
    </w:p>
    <w:p w14:paraId="28D37D60" w14:textId="77777777" w:rsidR="00EF4E78" w:rsidRPr="00451E72" w:rsidRDefault="00EF4E78" w:rsidP="00EF4E78">
      <w:pPr>
        <w:autoSpaceDE w:val="0"/>
        <w:autoSpaceDN w:val="0"/>
        <w:adjustRightInd w:val="0"/>
        <w:spacing w:line="360" w:lineRule="auto"/>
        <w:ind w:left="0" w:hanging="2"/>
        <w:jc w:val="center"/>
        <w:rPr>
          <w:rFonts w:ascii="Times New Roman" w:hAnsi="Times New Roman" w:cs="Times New Roman"/>
          <w:b/>
          <w:bCs/>
        </w:rPr>
      </w:pPr>
      <w:r>
        <w:rPr>
          <w:rFonts w:ascii="Times New Roman" w:hAnsi="Times New Roman" w:cs="Times New Roman"/>
          <w:b/>
          <w:bCs/>
        </w:rPr>
        <w:lastRenderedPageBreak/>
        <w:t>QUADRO</w:t>
      </w:r>
      <w:r w:rsidRPr="00451E72">
        <w:rPr>
          <w:rFonts w:ascii="Times New Roman" w:hAnsi="Times New Roman" w:cs="Times New Roman"/>
          <w:b/>
          <w:bCs/>
        </w:rPr>
        <w:t xml:space="preserve"> 7 </w:t>
      </w:r>
      <w:r w:rsidRPr="00451E72">
        <w:rPr>
          <w:rFonts w:ascii="Times New Roman" w:eastAsia="Times New Roman" w:hAnsi="Times New Roman" w:cs="Times New Roman"/>
        </w:rPr>
        <w:t>–</w:t>
      </w:r>
      <w:r w:rsidRPr="00451E72">
        <w:rPr>
          <w:rFonts w:ascii="Times New Roman" w:hAnsi="Times New Roman" w:cs="Times New Roman"/>
          <w:b/>
          <w:bCs/>
        </w:rPr>
        <w:t xml:space="preserve"> </w:t>
      </w:r>
      <w:r w:rsidRPr="00451E72">
        <w:rPr>
          <w:rFonts w:ascii="Times New Roman" w:hAnsi="Times New Roman" w:cs="Times New Roman"/>
        </w:rPr>
        <w:t>Síntese das versões original e pós-harmonização</w:t>
      </w:r>
      <w:r w:rsidRPr="00451E72">
        <w:rPr>
          <w:rFonts w:ascii="Times New Roman" w:hAnsi="Times New Roman" w:cs="Times New Roman"/>
          <w:b/>
          <w:bCs/>
        </w:rPr>
        <w:t xml:space="preserve"> </w:t>
      </w:r>
    </w:p>
    <w:tbl>
      <w:tblPr>
        <w:tblStyle w:val="Tabelacomgrade"/>
        <w:tblpPr w:leftFromText="141" w:rightFromText="141" w:vertAnchor="text" w:tblpY="1"/>
        <w:tblOverlap w:val="never"/>
        <w:tblW w:w="9067" w:type="dxa"/>
        <w:tblLayout w:type="fixed"/>
        <w:tblLook w:val="04A0" w:firstRow="1" w:lastRow="0" w:firstColumn="1" w:lastColumn="0" w:noHBand="0" w:noVBand="1"/>
      </w:tblPr>
      <w:tblGrid>
        <w:gridCol w:w="988"/>
        <w:gridCol w:w="3402"/>
        <w:gridCol w:w="4677"/>
      </w:tblGrid>
      <w:tr w:rsidR="00EF4E78" w:rsidRPr="00451E72" w14:paraId="17925639" w14:textId="77777777">
        <w:trPr>
          <w:cantSplit/>
          <w:trHeight w:val="420"/>
        </w:trPr>
        <w:tc>
          <w:tcPr>
            <w:tcW w:w="988" w:type="dxa"/>
            <w:vAlign w:val="center"/>
          </w:tcPr>
          <w:p w14:paraId="547D8472"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w:t>
            </w:r>
          </w:p>
        </w:tc>
        <w:tc>
          <w:tcPr>
            <w:tcW w:w="3402" w:type="dxa"/>
            <w:vAlign w:val="center"/>
          </w:tcPr>
          <w:p w14:paraId="6E4EE892"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Versão original</w:t>
            </w:r>
          </w:p>
        </w:tc>
        <w:tc>
          <w:tcPr>
            <w:tcW w:w="4677" w:type="dxa"/>
            <w:vAlign w:val="center"/>
          </w:tcPr>
          <w:p w14:paraId="643D1D1A"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Versão pós-harmonização</w:t>
            </w:r>
          </w:p>
        </w:tc>
      </w:tr>
      <w:tr w:rsidR="00EF4E78" w:rsidRPr="00451E72" w14:paraId="10532BEF" w14:textId="77777777">
        <w:trPr>
          <w:cantSplit/>
          <w:trHeight w:val="1488"/>
        </w:trPr>
        <w:tc>
          <w:tcPr>
            <w:tcW w:w="988" w:type="dxa"/>
            <w:vAlign w:val="center"/>
          </w:tcPr>
          <w:p w14:paraId="64029223"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Título</w:t>
            </w:r>
          </w:p>
        </w:tc>
        <w:tc>
          <w:tcPr>
            <w:tcW w:w="3402" w:type="dxa"/>
          </w:tcPr>
          <w:p w14:paraId="51AD22DA"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Escala para la identificación estudiante doblemente excepcional alta capacidad con trastorno por déficit de atención (TDAH).</w:t>
            </w:r>
          </w:p>
        </w:tc>
        <w:tc>
          <w:tcPr>
            <w:tcW w:w="4677" w:type="dxa"/>
          </w:tcPr>
          <w:p w14:paraId="7A1EF2BD"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 xml:space="preserve">Escala para a identificação do(a) estudante duplamente </w:t>
            </w:r>
            <w:proofErr w:type="gramStart"/>
            <w:r w:rsidRPr="00451E72">
              <w:rPr>
                <w:rFonts w:ascii="Times New Roman" w:eastAsia="Calibri" w:hAnsi="Times New Roman" w:cs="Times New Roman"/>
              </w:rPr>
              <w:t>excepcional  –</w:t>
            </w:r>
            <w:proofErr w:type="gramEnd"/>
            <w:r w:rsidRPr="00451E72">
              <w:rPr>
                <w:rFonts w:ascii="Times New Roman" w:eastAsia="Calibri" w:hAnsi="Times New Roman" w:cs="Times New Roman"/>
              </w:rPr>
              <w:t xml:space="preserve"> altas habilidades com transtorno de déficit de atenção/hiperatividade (EIDEAH/TDAH). </w:t>
            </w:r>
          </w:p>
        </w:tc>
      </w:tr>
      <w:tr w:rsidR="00EF4E78" w:rsidRPr="00451E72" w14:paraId="7ADAE3F9" w14:textId="77777777">
        <w:trPr>
          <w:cantSplit/>
          <w:trHeight w:val="62"/>
        </w:trPr>
        <w:tc>
          <w:tcPr>
            <w:tcW w:w="9067" w:type="dxa"/>
            <w:gridSpan w:val="3"/>
            <w:vAlign w:val="center"/>
          </w:tcPr>
          <w:p w14:paraId="61C91942"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Dimensão acadêmica</w:t>
            </w:r>
          </w:p>
        </w:tc>
      </w:tr>
      <w:tr w:rsidR="00EF4E78" w:rsidRPr="00451E72" w14:paraId="2E9393B8" w14:textId="77777777">
        <w:trPr>
          <w:cantSplit/>
          <w:trHeight w:val="96"/>
        </w:trPr>
        <w:tc>
          <w:tcPr>
            <w:tcW w:w="988" w:type="dxa"/>
            <w:vAlign w:val="center"/>
          </w:tcPr>
          <w:p w14:paraId="3A68AFFC"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w:t>
            </w:r>
          </w:p>
        </w:tc>
        <w:tc>
          <w:tcPr>
            <w:tcW w:w="3402" w:type="dxa"/>
          </w:tcPr>
          <w:p w14:paraId="5D341902"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Presenta iniciativa al aprender actividades de su interés. </w:t>
            </w:r>
          </w:p>
        </w:tc>
        <w:tc>
          <w:tcPr>
            <w:tcW w:w="4677" w:type="dxa"/>
          </w:tcPr>
          <w:p w14:paraId="32B03FFD"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Apresenta iniciativa para aprender atividades de seu interesse.</w:t>
            </w:r>
          </w:p>
        </w:tc>
      </w:tr>
      <w:tr w:rsidR="00EF4E78" w:rsidRPr="00451E72" w14:paraId="3363E198" w14:textId="77777777">
        <w:trPr>
          <w:cantSplit/>
          <w:trHeight w:val="96"/>
        </w:trPr>
        <w:tc>
          <w:tcPr>
            <w:tcW w:w="988" w:type="dxa"/>
            <w:vAlign w:val="center"/>
          </w:tcPr>
          <w:p w14:paraId="6E96C645"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2</w:t>
            </w:r>
          </w:p>
        </w:tc>
        <w:tc>
          <w:tcPr>
            <w:tcW w:w="3402" w:type="dxa"/>
          </w:tcPr>
          <w:p w14:paraId="29412966"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Presenta iniciativa en el </w:t>
            </w:r>
            <w:proofErr w:type="spellStart"/>
            <w:r w:rsidRPr="00C820AA">
              <w:rPr>
                <w:rFonts w:ascii="Times New Roman" w:eastAsia="Calibri" w:hAnsi="Times New Roman" w:cs="Times New Roman"/>
                <w:lang w:val="es-419"/>
              </w:rPr>
              <w:t>auto-aprendizaje</w:t>
            </w:r>
            <w:proofErr w:type="spellEnd"/>
            <w:r w:rsidRPr="00C820AA">
              <w:rPr>
                <w:rFonts w:ascii="Times New Roman" w:eastAsia="Calibri" w:hAnsi="Times New Roman" w:cs="Times New Roman"/>
                <w:lang w:val="es-419"/>
              </w:rPr>
              <w:t xml:space="preserve">. </w:t>
            </w:r>
          </w:p>
        </w:tc>
        <w:tc>
          <w:tcPr>
            <w:tcW w:w="4677" w:type="dxa"/>
          </w:tcPr>
          <w:p w14:paraId="43DDE9EC"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Apresenta iniciativa na autoaprendizagem.</w:t>
            </w:r>
          </w:p>
        </w:tc>
      </w:tr>
      <w:tr w:rsidR="00EF4E78" w:rsidRPr="00451E72" w14:paraId="2292E56F" w14:textId="77777777">
        <w:trPr>
          <w:cantSplit/>
          <w:trHeight w:val="214"/>
        </w:trPr>
        <w:tc>
          <w:tcPr>
            <w:tcW w:w="988" w:type="dxa"/>
            <w:vAlign w:val="center"/>
          </w:tcPr>
          <w:p w14:paraId="19D25C69"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3</w:t>
            </w:r>
          </w:p>
        </w:tc>
        <w:tc>
          <w:tcPr>
            <w:tcW w:w="3402" w:type="dxa"/>
          </w:tcPr>
          <w:p w14:paraId="362FF9F8"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Prefiere desarrollar tareas que le son más fáciles.</w:t>
            </w:r>
          </w:p>
        </w:tc>
        <w:tc>
          <w:tcPr>
            <w:tcW w:w="4677" w:type="dxa"/>
          </w:tcPr>
          <w:p w14:paraId="6995600E"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Prefere desenvolver tarefas que considera mais fáceis.</w:t>
            </w:r>
          </w:p>
        </w:tc>
      </w:tr>
      <w:tr w:rsidR="00EF4E78" w:rsidRPr="00451E72" w14:paraId="5E5FA954" w14:textId="77777777">
        <w:trPr>
          <w:cantSplit/>
          <w:trHeight w:val="674"/>
        </w:trPr>
        <w:tc>
          <w:tcPr>
            <w:tcW w:w="988" w:type="dxa"/>
            <w:vAlign w:val="center"/>
          </w:tcPr>
          <w:p w14:paraId="78789FD3"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4</w:t>
            </w:r>
          </w:p>
        </w:tc>
        <w:tc>
          <w:tcPr>
            <w:tcW w:w="3402" w:type="dxa"/>
          </w:tcPr>
          <w:p w14:paraId="46984CF3"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Presenta un </w:t>
            </w:r>
            <w:proofErr w:type="spellStart"/>
            <w:r w:rsidRPr="00C820AA">
              <w:rPr>
                <w:rFonts w:ascii="Times New Roman" w:eastAsia="Calibri" w:hAnsi="Times New Roman" w:cs="Times New Roman"/>
                <w:lang w:val="es-419"/>
              </w:rPr>
              <w:t>rendimento</w:t>
            </w:r>
            <w:proofErr w:type="spellEnd"/>
            <w:r w:rsidRPr="00C820AA">
              <w:rPr>
                <w:rFonts w:ascii="Times New Roman" w:eastAsia="Calibri" w:hAnsi="Times New Roman" w:cs="Times New Roman"/>
                <w:lang w:val="es-419"/>
              </w:rPr>
              <w:t xml:space="preserve"> escolar </w:t>
            </w:r>
            <w:proofErr w:type="spellStart"/>
            <w:r w:rsidRPr="00C820AA">
              <w:rPr>
                <w:rFonts w:ascii="Times New Roman" w:eastAsia="Calibri" w:hAnsi="Times New Roman" w:cs="Times New Roman"/>
                <w:lang w:val="es-419"/>
              </w:rPr>
              <w:t>sobressaliente</w:t>
            </w:r>
            <w:proofErr w:type="spellEnd"/>
            <w:r w:rsidRPr="00C820AA">
              <w:rPr>
                <w:rFonts w:ascii="Times New Roman" w:eastAsia="Calibri" w:hAnsi="Times New Roman" w:cs="Times New Roman"/>
                <w:lang w:val="es-419"/>
              </w:rPr>
              <w:t xml:space="preserve"> en algunas áreas y </w:t>
            </w:r>
            <w:proofErr w:type="spellStart"/>
            <w:r w:rsidRPr="00C820AA">
              <w:rPr>
                <w:rFonts w:ascii="Times New Roman" w:eastAsia="Calibri" w:hAnsi="Times New Roman" w:cs="Times New Roman"/>
                <w:lang w:val="es-419"/>
              </w:rPr>
              <w:t>deficitário</w:t>
            </w:r>
            <w:proofErr w:type="spellEnd"/>
            <w:r w:rsidRPr="00C820AA">
              <w:rPr>
                <w:rFonts w:ascii="Times New Roman" w:eastAsia="Calibri" w:hAnsi="Times New Roman" w:cs="Times New Roman"/>
                <w:lang w:val="es-419"/>
              </w:rPr>
              <w:t xml:space="preserve"> en otras. </w:t>
            </w:r>
          </w:p>
        </w:tc>
        <w:tc>
          <w:tcPr>
            <w:tcW w:w="4677" w:type="dxa"/>
          </w:tcPr>
          <w:p w14:paraId="5BCCE450"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Apresenta rendimento escolar notável em algumas áreas e deficitário em outras.</w:t>
            </w:r>
          </w:p>
        </w:tc>
      </w:tr>
      <w:tr w:rsidR="00EF4E78" w:rsidRPr="00451E72" w14:paraId="17601B8B" w14:textId="77777777">
        <w:trPr>
          <w:cantSplit/>
          <w:trHeight w:val="559"/>
        </w:trPr>
        <w:tc>
          <w:tcPr>
            <w:tcW w:w="988" w:type="dxa"/>
            <w:vAlign w:val="center"/>
          </w:tcPr>
          <w:p w14:paraId="16EFD44F"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5</w:t>
            </w:r>
          </w:p>
        </w:tc>
        <w:tc>
          <w:tcPr>
            <w:tcW w:w="3402" w:type="dxa"/>
          </w:tcPr>
          <w:p w14:paraId="09B0978B"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Presenta un </w:t>
            </w:r>
            <w:proofErr w:type="spellStart"/>
            <w:r w:rsidRPr="00C820AA">
              <w:rPr>
                <w:rFonts w:ascii="Times New Roman" w:eastAsia="Calibri" w:hAnsi="Times New Roman" w:cs="Times New Roman"/>
                <w:lang w:val="es-419"/>
              </w:rPr>
              <w:t>rendimento</w:t>
            </w:r>
            <w:proofErr w:type="spellEnd"/>
            <w:r w:rsidRPr="00C820AA">
              <w:rPr>
                <w:rFonts w:ascii="Times New Roman" w:eastAsia="Calibri" w:hAnsi="Times New Roman" w:cs="Times New Roman"/>
                <w:lang w:val="es-419"/>
              </w:rPr>
              <w:t xml:space="preserve"> académico deficiente en aquellas áreas que implican el desarrollo de habilidades lectoras. </w:t>
            </w:r>
          </w:p>
        </w:tc>
        <w:tc>
          <w:tcPr>
            <w:tcW w:w="4677" w:type="dxa"/>
          </w:tcPr>
          <w:p w14:paraId="56B275DA"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Apresenta rendimento acadêmico deficitário nas áreas que implicam o desenvolvimento de habilidades de leitura.</w:t>
            </w:r>
          </w:p>
        </w:tc>
      </w:tr>
      <w:tr w:rsidR="00EF4E78" w:rsidRPr="00451E72" w14:paraId="64184DF2" w14:textId="77777777">
        <w:trPr>
          <w:cantSplit/>
          <w:trHeight w:val="416"/>
        </w:trPr>
        <w:tc>
          <w:tcPr>
            <w:tcW w:w="988" w:type="dxa"/>
            <w:vAlign w:val="center"/>
          </w:tcPr>
          <w:p w14:paraId="5D0D53D3"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6</w:t>
            </w:r>
          </w:p>
        </w:tc>
        <w:tc>
          <w:tcPr>
            <w:tcW w:w="3402" w:type="dxa"/>
          </w:tcPr>
          <w:p w14:paraId="6355A58F" w14:textId="77777777" w:rsidR="00EF4E78" w:rsidRPr="00451E72" w:rsidRDefault="00EF4E78">
            <w:pPr>
              <w:spacing w:line="360" w:lineRule="auto"/>
              <w:ind w:left="0" w:hanging="2"/>
              <w:jc w:val="both"/>
              <w:textDirection w:val="lrTb"/>
              <w:rPr>
                <w:rFonts w:ascii="Times New Roman" w:eastAsia="Calibri" w:hAnsi="Times New Roman" w:cs="Times New Roman"/>
              </w:rPr>
            </w:pPr>
            <w:proofErr w:type="spellStart"/>
            <w:r w:rsidRPr="00451E72">
              <w:rPr>
                <w:rFonts w:ascii="Times New Roman" w:eastAsia="Calibri" w:hAnsi="Times New Roman" w:cs="Times New Roman"/>
              </w:rPr>
              <w:t>Demuestra</w:t>
            </w:r>
            <w:proofErr w:type="spellEnd"/>
            <w:r w:rsidRPr="00451E72">
              <w:rPr>
                <w:rFonts w:ascii="Times New Roman" w:eastAsia="Calibri" w:hAnsi="Times New Roman" w:cs="Times New Roman"/>
              </w:rPr>
              <w:t xml:space="preserve"> </w:t>
            </w:r>
            <w:proofErr w:type="spellStart"/>
            <w:r w:rsidRPr="00451E72">
              <w:rPr>
                <w:rFonts w:ascii="Times New Roman" w:eastAsia="Calibri" w:hAnsi="Times New Roman" w:cs="Times New Roman"/>
              </w:rPr>
              <w:t>interés</w:t>
            </w:r>
            <w:proofErr w:type="spellEnd"/>
            <w:r w:rsidRPr="00451E72">
              <w:rPr>
                <w:rFonts w:ascii="Times New Roman" w:eastAsia="Calibri" w:hAnsi="Times New Roman" w:cs="Times New Roman"/>
              </w:rPr>
              <w:t xml:space="preserve"> y </w:t>
            </w:r>
            <w:proofErr w:type="spellStart"/>
            <w:r w:rsidRPr="00451E72">
              <w:rPr>
                <w:rFonts w:ascii="Times New Roman" w:eastAsia="Calibri" w:hAnsi="Times New Roman" w:cs="Times New Roman"/>
              </w:rPr>
              <w:t>buenos</w:t>
            </w:r>
            <w:proofErr w:type="spellEnd"/>
            <w:r w:rsidRPr="00451E72">
              <w:rPr>
                <w:rFonts w:ascii="Times New Roman" w:eastAsia="Calibri" w:hAnsi="Times New Roman" w:cs="Times New Roman"/>
              </w:rPr>
              <w:t xml:space="preserve"> resultados académicos em temas </w:t>
            </w:r>
            <w:proofErr w:type="gramStart"/>
            <w:r w:rsidRPr="00451E72">
              <w:rPr>
                <w:rFonts w:ascii="Times New Roman" w:eastAsia="Calibri" w:hAnsi="Times New Roman" w:cs="Times New Roman"/>
              </w:rPr>
              <w:t>o áreas específicas</w:t>
            </w:r>
            <w:proofErr w:type="gramEnd"/>
            <w:r w:rsidRPr="00451E72">
              <w:rPr>
                <w:rFonts w:ascii="Times New Roman" w:eastAsia="Calibri" w:hAnsi="Times New Roman" w:cs="Times New Roman"/>
              </w:rPr>
              <w:t xml:space="preserve">. </w:t>
            </w:r>
          </w:p>
        </w:tc>
        <w:tc>
          <w:tcPr>
            <w:tcW w:w="4677" w:type="dxa"/>
          </w:tcPr>
          <w:p w14:paraId="67BD4BF8"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Demonstra interesse e bom desempenho acadêmico em temas ou áreas específicas.</w:t>
            </w:r>
          </w:p>
        </w:tc>
      </w:tr>
      <w:tr w:rsidR="00EF4E78" w:rsidRPr="00451E72" w14:paraId="26CCC810" w14:textId="77777777">
        <w:trPr>
          <w:cantSplit/>
          <w:trHeight w:val="753"/>
        </w:trPr>
        <w:tc>
          <w:tcPr>
            <w:tcW w:w="988" w:type="dxa"/>
            <w:vAlign w:val="center"/>
          </w:tcPr>
          <w:p w14:paraId="1373297D"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7</w:t>
            </w:r>
          </w:p>
        </w:tc>
        <w:tc>
          <w:tcPr>
            <w:tcW w:w="3402" w:type="dxa"/>
          </w:tcPr>
          <w:p w14:paraId="440B5B74"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Obtiene un rendimiento académico por encima del promedio de sus pares. </w:t>
            </w:r>
          </w:p>
        </w:tc>
        <w:tc>
          <w:tcPr>
            <w:tcW w:w="4677" w:type="dxa"/>
          </w:tcPr>
          <w:p w14:paraId="02C05014"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 xml:space="preserve">Obtém um rendimento acadêmico acima da média de seus colegas. </w:t>
            </w:r>
          </w:p>
        </w:tc>
      </w:tr>
      <w:tr w:rsidR="00EF4E78" w:rsidRPr="00451E72" w14:paraId="4BA67572" w14:textId="77777777">
        <w:trPr>
          <w:cantSplit/>
          <w:trHeight w:val="247"/>
        </w:trPr>
        <w:tc>
          <w:tcPr>
            <w:tcW w:w="988" w:type="dxa"/>
            <w:vAlign w:val="center"/>
          </w:tcPr>
          <w:p w14:paraId="1923DB85"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8</w:t>
            </w:r>
          </w:p>
        </w:tc>
        <w:tc>
          <w:tcPr>
            <w:tcW w:w="3402" w:type="dxa"/>
          </w:tcPr>
          <w:p w14:paraId="0FA92F4C"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Tiende a buscar nuevos </w:t>
            </w:r>
            <w:proofErr w:type="spellStart"/>
            <w:r w:rsidRPr="00C820AA">
              <w:rPr>
                <w:rFonts w:ascii="Times New Roman" w:eastAsia="Calibri" w:hAnsi="Times New Roman" w:cs="Times New Roman"/>
                <w:lang w:val="es-419"/>
              </w:rPr>
              <w:t>desafios</w:t>
            </w:r>
            <w:proofErr w:type="spellEnd"/>
            <w:r w:rsidRPr="00C820AA">
              <w:rPr>
                <w:rFonts w:ascii="Times New Roman" w:eastAsia="Calibri" w:hAnsi="Times New Roman" w:cs="Times New Roman"/>
                <w:lang w:val="es-419"/>
              </w:rPr>
              <w:t xml:space="preserve"> académicos.</w:t>
            </w:r>
          </w:p>
        </w:tc>
        <w:tc>
          <w:tcPr>
            <w:tcW w:w="4677" w:type="dxa"/>
          </w:tcPr>
          <w:p w14:paraId="68883001"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Tende a buscar novos desafios acadêmicos.</w:t>
            </w:r>
          </w:p>
        </w:tc>
      </w:tr>
      <w:tr w:rsidR="00EF4E78" w:rsidRPr="00451E72" w14:paraId="7E65FE0B" w14:textId="77777777">
        <w:trPr>
          <w:cantSplit/>
          <w:trHeight w:val="119"/>
        </w:trPr>
        <w:tc>
          <w:tcPr>
            <w:tcW w:w="9067" w:type="dxa"/>
            <w:gridSpan w:val="3"/>
            <w:vAlign w:val="center"/>
          </w:tcPr>
          <w:p w14:paraId="4BF48382"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Dimensão cognitiva</w:t>
            </w:r>
          </w:p>
        </w:tc>
      </w:tr>
      <w:tr w:rsidR="00EF4E78" w:rsidRPr="00451E72" w14:paraId="097B9BEC" w14:textId="77777777">
        <w:trPr>
          <w:cantSplit/>
          <w:trHeight w:val="555"/>
        </w:trPr>
        <w:tc>
          <w:tcPr>
            <w:tcW w:w="988" w:type="dxa"/>
            <w:vAlign w:val="center"/>
          </w:tcPr>
          <w:p w14:paraId="29CFFAD0"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w:t>
            </w:r>
          </w:p>
        </w:tc>
        <w:tc>
          <w:tcPr>
            <w:tcW w:w="3402" w:type="dxa"/>
          </w:tcPr>
          <w:p w14:paraId="2AD5B922"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Lee oralmente de forma fluida y retiene información de su interés.</w:t>
            </w:r>
          </w:p>
        </w:tc>
        <w:tc>
          <w:tcPr>
            <w:tcW w:w="4677" w:type="dxa"/>
          </w:tcPr>
          <w:p w14:paraId="642C1056"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Lê oralmente com fluência e retém informação de seu interesse.</w:t>
            </w:r>
          </w:p>
        </w:tc>
      </w:tr>
      <w:tr w:rsidR="00EF4E78" w:rsidRPr="00451E72" w14:paraId="597C830D" w14:textId="77777777">
        <w:trPr>
          <w:cantSplit/>
          <w:trHeight w:val="657"/>
        </w:trPr>
        <w:tc>
          <w:tcPr>
            <w:tcW w:w="988" w:type="dxa"/>
            <w:vAlign w:val="center"/>
          </w:tcPr>
          <w:p w14:paraId="661956B1"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2</w:t>
            </w:r>
          </w:p>
        </w:tc>
        <w:tc>
          <w:tcPr>
            <w:tcW w:w="3402" w:type="dxa"/>
          </w:tcPr>
          <w:p w14:paraId="751FB9B6"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Posee dificultades en el procesamiento de la lectura compresiva.</w:t>
            </w:r>
          </w:p>
        </w:tc>
        <w:tc>
          <w:tcPr>
            <w:tcW w:w="4677" w:type="dxa"/>
          </w:tcPr>
          <w:p w14:paraId="5D246D28"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Possui dificuldades no processamento da leitura compreensiva.</w:t>
            </w:r>
          </w:p>
        </w:tc>
      </w:tr>
      <w:tr w:rsidR="00EF4E78" w:rsidRPr="00451E72" w14:paraId="2030A157" w14:textId="77777777">
        <w:trPr>
          <w:cantSplit/>
          <w:trHeight w:val="416"/>
        </w:trPr>
        <w:tc>
          <w:tcPr>
            <w:tcW w:w="988" w:type="dxa"/>
            <w:vAlign w:val="center"/>
          </w:tcPr>
          <w:p w14:paraId="18BC7CAA"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lastRenderedPageBreak/>
              <w:t>Item 3</w:t>
            </w:r>
          </w:p>
        </w:tc>
        <w:tc>
          <w:tcPr>
            <w:tcW w:w="3402" w:type="dxa"/>
          </w:tcPr>
          <w:p w14:paraId="120751AA"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Presenta dificultades en la fluidez para </w:t>
            </w:r>
            <w:proofErr w:type="spellStart"/>
            <w:r w:rsidRPr="00C820AA">
              <w:rPr>
                <w:rFonts w:ascii="Times New Roman" w:eastAsia="Calibri" w:hAnsi="Times New Roman" w:cs="Times New Roman"/>
                <w:lang w:val="es-419"/>
              </w:rPr>
              <w:t>ler</w:t>
            </w:r>
            <w:proofErr w:type="spellEnd"/>
            <w:r w:rsidRPr="00C820AA">
              <w:rPr>
                <w:rFonts w:ascii="Times New Roman" w:eastAsia="Calibri" w:hAnsi="Times New Roman" w:cs="Times New Roman"/>
                <w:lang w:val="es-419"/>
              </w:rPr>
              <w:t xml:space="preserve"> (lee entrecortado, no respeta signos de </w:t>
            </w:r>
            <w:proofErr w:type="spellStart"/>
            <w:r w:rsidRPr="00C820AA">
              <w:rPr>
                <w:rFonts w:ascii="Times New Roman" w:eastAsia="Calibri" w:hAnsi="Times New Roman" w:cs="Times New Roman"/>
                <w:lang w:val="es-419"/>
              </w:rPr>
              <w:t>pontuación</w:t>
            </w:r>
            <w:proofErr w:type="spellEnd"/>
            <w:r w:rsidRPr="00C820AA">
              <w:rPr>
                <w:rFonts w:ascii="Times New Roman" w:eastAsia="Calibri" w:hAnsi="Times New Roman" w:cs="Times New Roman"/>
                <w:lang w:val="es-419"/>
              </w:rPr>
              <w:t xml:space="preserve">, etc.). </w:t>
            </w:r>
          </w:p>
        </w:tc>
        <w:tc>
          <w:tcPr>
            <w:tcW w:w="4677" w:type="dxa"/>
          </w:tcPr>
          <w:p w14:paraId="3DD49A4F"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Apresenta dificuldades na fluência da leitura (lê entrecortado, não respeita sinais de pontuação, etc.).</w:t>
            </w:r>
          </w:p>
        </w:tc>
      </w:tr>
      <w:tr w:rsidR="00EF4E78" w:rsidRPr="00451E72" w14:paraId="15A11176" w14:textId="77777777">
        <w:trPr>
          <w:cantSplit/>
          <w:trHeight w:val="277"/>
        </w:trPr>
        <w:tc>
          <w:tcPr>
            <w:tcW w:w="988" w:type="dxa"/>
            <w:vAlign w:val="center"/>
          </w:tcPr>
          <w:p w14:paraId="04AA5BE1"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4</w:t>
            </w:r>
          </w:p>
        </w:tc>
        <w:tc>
          <w:tcPr>
            <w:tcW w:w="3402" w:type="dxa"/>
          </w:tcPr>
          <w:p w14:paraId="16936EFA"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No cumple o </w:t>
            </w:r>
            <w:proofErr w:type="spellStart"/>
            <w:r w:rsidRPr="00C820AA">
              <w:rPr>
                <w:rFonts w:ascii="Times New Roman" w:eastAsia="Calibri" w:hAnsi="Times New Roman" w:cs="Times New Roman"/>
                <w:lang w:val="es-419"/>
              </w:rPr>
              <w:t>tende</w:t>
            </w:r>
            <w:proofErr w:type="spellEnd"/>
            <w:r w:rsidRPr="00C820AA">
              <w:rPr>
                <w:rFonts w:ascii="Times New Roman" w:eastAsia="Calibri" w:hAnsi="Times New Roman" w:cs="Times New Roman"/>
                <w:lang w:val="es-419"/>
              </w:rPr>
              <w:t xml:space="preserve"> a olvidar reiteradamente el material solicitado para el desarrollo de las clases. </w:t>
            </w:r>
          </w:p>
        </w:tc>
        <w:tc>
          <w:tcPr>
            <w:tcW w:w="4677" w:type="dxa"/>
          </w:tcPr>
          <w:p w14:paraId="3115350D"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Não cumpre ou tende a esquecer, repetidamente, o material solicitado para o desenvolvimento das aulas.</w:t>
            </w:r>
          </w:p>
        </w:tc>
      </w:tr>
      <w:tr w:rsidR="00EF4E78" w:rsidRPr="00451E72" w14:paraId="67F11072" w14:textId="77777777">
        <w:trPr>
          <w:cantSplit/>
          <w:trHeight w:val="558"/>
        </w:trPr>
        <w:tc>
          <w:tcPr>
            <w:tcW w:w="988" w:type="dxa"/>
            <w:vAlign w:val="center"/>
          </w:tcPr>
          <w:p w14:paraId="5F279842"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5</w:t>
            </w:r>
          </w:p>
        </w:tc>
        <w:tc>
          <w:tcPr>
            <w:tcW w:w="3402" w:type="dxa"/>
          </w:tcPr>
          <w:p w14:paraId="0D090541"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Se distrae fácilmente durante las instrucciones dadas por los docentes.</w:t>
            </w:r>
          </w:p>
        </w:tc>
        <w:tc>
          <w:tcPr>
            <w:tcW w:w="4677" w:type="dxa"/>
          </w:tcPr>
          <w:p w14:paraId="2E1B49F5"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 xml:space="preserve">Se distrai facilmente durante as instruções dadas pelos(as) professores(as). </w:t>
            </w:r>
          </w:p>
        </w:tc>
      </w:tr>
      <w:tr w:rsidR="00EF4E78" w:rsidRPr="00451E72" w14:paraId="05B4797A" w14:textId="77777777">
        <w:trPr>
          <w:cantSplit/>
          <w:trHeight w:val="777"/>
        </w:trPr>
        <w:tc>
          <w:tcPr>
            <w:tcW w:w="988" w:type="dxa"/>
            <w:vAlign w:val="center"/>
          </w:tcPr>
          <w:p w14:paraId="2610DA74"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6</w:t>
            </w:r>
          </w:p>
        </w:tc>
        <w:tc>
          <w:tcPr>
            <w:tcW w:w="3402" w:type="dxa"/>
          </w:tcPr>
          <w:p w14:paraId="6F996356"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Retiene poca información cuando los contenidos no resultan ser de su interés.</w:t>
            </w:r>
          </w:p>
        </w:tc>
        <w:tc>
          <w:tcPr>
            <w:tcW w:w="4677" w:type="dxa"/>
          </w:tcPr>
          <w:p w14:paraId="6A84DA38"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Retém pouca informação quando os conteúdos não são de seu interesse.</w:t>
            </w:r>
          </w:p>
        </w:tc>
      </w:tr>
      <w:tr w:rsidR="00EF4E78" w:rsidRPr="00451E72" w14:paraId="1D11FFB3" w14:textId="77777777">
        <w:trPr>
          <w:cantSplit/>
          <w:trHeight w:val="205"/>
        </w:trPr>
        <w:tc>
          <w:tcPr>
            <w:tcW w:w="988" w:type="dxa"/>
            <w:vAlign w:val="center"/>
          </w:tcPr>
          <w:p w14:paraId="77A4FCB5"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7</w:t>
            </w:r>
          </w:p>
        </w:tc>
        <w:tc>
          <w:tcPr>
            <w:tcW w:w="3402" w:type="dxa"/>
          </w:tcPr>
          <w:p w14:paraId="0F7F9F39"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Recuerda detalles de lo aprendido.</w:t>
            </w:r>
          </w:p>
        </w:tc>
        <w:tc>
          <w:tcPr>
            <w:tcW w:w="4677" w:type="dxa"/>
          </w:tcPr>
          <w:p w14:paraId="2E0BFDBD"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Recorda detalhes do que aprendeu.</w:t>
            </w:r>
          </w:p>
        </w:tc>
      </w:tr>
      <w:tr w:rsidR="00EF4E78" w:rsidRPr="00451E72" w14:paraId="09E98BD3" w14:textId="77777777">
        <w:trPr>
          <w:cantSplit/>
          <w:trHeight w:val="862"/>
        </w:trPr>
        <w:tc>
          <w:tcPr>
            <w:tcW w:w="988" w:type="dxa"/>
            <w:vAlign w:val="center"/>
          </w:tcPr>
          <w:p w14:paraId="568B26CE"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8</w:t>
            </w:r>
          </w:p>
        </w:tc>
        <w:tc>
          <w:tcPr>
            <w:tcW w:w="3402" w:type="dxa"/>
          </w:tcPr>
          <w:p w14:paraId="335C9031"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Recuerda información, a pesar de no haberla escrito o guardado de manera física. </w:t>
            </w:r>
          </w:p>
        </w:tc>
        <w:tc>
          <w:tcPr>
            <w:tcW w:w="4677" w:type="dxa"/>
          </w:tcPr>
          <w:p w14:paraId="01147C19"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Recorda informações, apesar de não ter anotado ou registrado de outras formas.</w:t>
            </w:r>
          </w:p>
        </w:tc>
      </w:tr>
      <w:tr w:rsidR="00EF4E78" w:rsidRPr="00451E72" w14:paraId="5FAC2109" w14:textId="77777777">
        <w:trPr>
          <w:cantSplit/>
          <w:trHeight w:val="381"/>
        </w:trPr>
        <w:tc>
          <w:tcPr>
            <w:tcW w:w="988" w:type="dxa"/>
            <w:vAlign w:val="center"/>
          </w:tcPr>
          <w:p w14:paraId="5FA5CEBB"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9</w:t>
            </w:r>
          </w:p>
        </w:tc>
        <w:tc>
          <w:tcPr>
            <w:tcW w:w="3402" w:type="dxa"/>
          </w:tcPr>
          <w:p w14:paraId="76F8C04C"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Evidencia una aguda memoria visual (detalles).</w:t>
            </w:r>
          </w:p>
        </w:tc>
        <w:tc>
          <w:tcPr>
            <w:tcW w:w="4677" w:type="dxa"/>
          </w:tcPr>
          <w:p w14:paraId="3FF61C65"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Demonstra uma aguçada memória visual (detalhes).</w:t>
            </w:r>
          </w:p>
        </w:tc>
      </w:tr>
      <w:tr w:rsidR="00EF4E78" w:rsidRPr="00451E72" w14:paraId="7E5BFCD3" w14:textId="77777777">
        <w:trPr>
          <w:cantSplit/>
          <w:trHeight w:val="96"/>
        </w:trPr>
        <w:tc>
          <w:tcPr>
            <w:tcW w:w="988" w:type="dxa"/>
            <w:vAlign w:val="center"/>
          </w:tcPr>
          <w:p w14:paraId="697C4802"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10</w:t>
            </w:r>
          </w:p>
        </w:tc>
        <w:tc>
          <w:tcPr>
            <w:tcW w:w="3402" w:type="dxa"/>
          </w:tcPr>
          <w:p w14:paraId="5FE36A96"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Evidencia una aguda memoria auditiva (</w:t>
            </w:r>
            <w:proofErr w:type="spellStart"/>
            <w:r w:rsidRPr="00451E72">
              <w:rPr>
                <w:rFonts w:ascii="Times New Roman" w:eastAsia="Calibri" w:hAnsi="Times New Roman" w:cs="Times New Roman"/>
              </w:rPr>
              <w:t>detalles</w:t>
            </w:r>
            <w:proofErr w:type="spellEnd"/>
            <w:r w:rsidRPr="00451E72">
              <w:rPr>
                <w:rFonts w:ascii="Times New Roman" w:eastAsia="Calibri" w:hAnsi="Times New Roman" w:cs="Times New Roman"/>
              </w:rPr>
              <w:t>).</w:t>
            </w:r>
          </w:p>
        </w:tc>
        <w:tc>
          <w:tcPr>
            <w:tcW w:w="4677" w:type="dxa"/>
          </w:tcPr>
          <w:p w14:paraId="327CF1FB"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Demonstra uma aguçada memória auditiva (detalhes).</w:t>
            </w:r>
          </w:p>
        </w:tc>
      </w:tr>
      <w:tr w:rsidR="00EF4E78" w:rsidRPr="00451E72" w14:paraId="430E11F4" w14:textId="77777777">
        <w:trPr>
          <w:cantSplit/>
          <w:trHeight w:val="279"/>
        </w:trPr>
        <w:tc>
          <w:tcPr>
            <w:tcW w:w="988" w:type="dxa"/>
            <w:vAlign w:val="center"/>
          </w:tcPr>
          <w:p w14:paraId="29FF3845"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11</w:t>
            </w:r>
          </w:p>
        </w:tc>
        <w:tc>
          <w:tcPr>
            <w:tcW w:w="3402" w:type="dxa"/>
          </w:tcPr>
          <w:p w14:paraId="3F1E6E3B"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Se expresa </w:t>
            </w:r>
            <w:proofErr w:type="spellStart"/>
            <w:r w:rsidRPr="00C820AA">
              <w:rPr>
                <w:rFonts w:ascii="Times New Roman" w:eastAsia="Calibri" w:hAnsi="Times New Roman" w:cs="Times New Roman"/>
                <w:lang w:val="es-419"/>
              </w:rPr>
              <w:t>através</w:t>
            </w:r>
            <w:proofErr w:type="spellEnd"/>
            <w:r w:rsidRPr="00C820AA">
              <w:rPr>
                <w:rFonts w:ascii="Times New Roman" w:eastAsia="Calibri" w:hAnsi="Times New Roman" w:cs="Times New Roman"/>
                <w:lang w:val="es-419"/>
              </w:rPr>
              <w:t xml:space="preserve"> de un amplio </w:t>
            </w:r>
            <w:proofErr w:type="spellStart"/>
            <w:r w:rsidRPr="00C820AA">
              <w:rPr>
                <w:rFonts w:ascii="Times New Roman" w:eastAsia="Calibri" w:hAnsi="Times New Roman" w:cs="Times New Roman"/>
                <w:lang w:val="es-419"/>
              </w:rPr>
              <w:t>vocabulário</w:t>
            </w:r>
            <w:proofErr w:type="spellEnd"/>
            <w:r w:rsidRPr="00C820AA">
              <w:rPr>
                <w:rFonts w:ascii="Times New Roman" w:eastAsia="Calibri" w:hAnsi="Times New Roman" w:cs="Times New Roman"/>
                <w:lang w:val="es-419"/>
              </w:rPr>
              <w:t>, usando palabras poco comunes para su edad.</w:t>
            </w:r>
          </w:p>
        </w:tc>
        <w:tc>
          <w:tcPr>
            <w:tcW w:w="4677" w:type="dxa"/>
          </w:tcPr>
          <w:p w14:paraId="0D77ABFF" w14:textId="77777777" w:rsidR="00EF4E78" w:rsidRPr="00451E72" w:rsidRDefault="00EF4E78">
            <w:pPr>
              <w:spacing w:line="360" w:lineRule="auto"/>
              <w:ind w:left="0" w:hanging="2"/>
              <w:textDirection w:val="lrTb"/>
              <w:rPr>
                <w:rFonts w:ascii="Times New Roman" w:eastAsia="Calibri" w:hAnsi="Times New Roman" w:cs="Times New Roman"/>
              </w:rPr>
            </w:pPr>
            <w:r w:rsidRPr="00451E72">
              <w:rPr>
                <w:rFonts w:ascii="Times New Roman" w:eastAsia="Calibri" w:hAnsi="Times New Roman" w:cs="Times New Roman"/>
              </w:rPr>
              <w:t>Se expressa por meio de um amplo vocabulário, usando palavras poucos comuns para sua idade.</w:t>
            </w:r>
          </w:p>
        </w:tc>
      </w:tr>
      <w:tr w:rsidR="00EF4E78" w:rsidRPr="00451E72" w14:paraId="7CB7AFE9" w14:textId="77777777">
        <w:trPr>
          <w:cantSplit/>
          <w:trHeight w:val="750"/>
        </w:trPr>
        <w:tc>
          <w:tcPr>
            <w:tcW w:w="988" w:type="dxa"/>
            <w:vAlign w:val="center"/>
          </w:tcPr>
          <w:p w14:paraId="0DD39FF3"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12</w:t>
            </w:r>
          </w:p>
        </w:tc>
        <w:tc>
          <w:tcPr>
            <w:tcW w:w="3402" w:type="dxa"/>
          </w:tcPr>
          <w:p w14:paraId="0AABECBF"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Demuestra un amplio dominio del lenguaje oral a </w:t>
            </w:r>
            <w:proofErr w:type="spellStart"/>
            <w:r w:rsidRPr="00C820AA">
              <w:rPr>
                <w:rFonts w:ascii="Times New Roman" w:eastAsia="Calibri" w:hAnsi="Times New Roman" w:cs="Times New Roman"/>
                <w:lang w:val="es-419"/>
              </w:rPr>
              <w:t>nível</w:t>
            </w:r>
            <w:proofErr w:type="spellEnd"/>
            <w:r w:rsidRPr="00C820AA">
              <w:rPr>
                <w:rFonts w:ascii="Times New Roman" w:eastAsia="Calibri" w:hAnsi="Times New Roman" w:cs="Times New Roman"/>
                <w:lang w:val="es-419"/>
              </w:rPr>
              <w:t xml:space="preserve"> comprensivo y expresivo.</w:t>
            </w:r>
          </w:p>
        </w:tc>
        <w:tc>
          <w:tcPr>
            <w:tcW w:w="4677" w:type="dxa"/>
          </w:tcPr>
          <w:p w14:paraId="00A60919"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Demonstra um amplo domínio da linguagem oral em nível compreensivo e expressivo.</w:t>
            </w:r>
          </w:p>
        </w:tc>
      </w:tr>
      <w:tr w:rsidR="00EF4E78" w:rsidRPr="00451E72" w14:paraId="30D196F8" w14:textId="77777777">
        <w:trPr>
          <w:cantSplit/>
          <w:trHeight w:val="384"/>
        </w:trPr>
        <w:tc>
          <w:tcPr>
            <w:tcW w:w="988" w:type="dxa"/>
            <w:vAlign w:val="center"/>
          </w:tcPr>
          <w:p w14:paraId="2DE487D1"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13</w:t>
            </w:r>
          </w:p>
        </w:tc>
        <w:tc>
          <w:tcPr>
            <w:tcW w:w="3402" w:type="dxa"/>
          </w:tcPr>
          <w:p w14:paraId="333B19D8"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Analiza distintas soluciones frente a un problema planteado.</w:t>
            </w:r>
          </w:p>
        </w:tc>
        <w:tc>
          <w:tcPr>
            <w:tcW w:w="4677" w:type="dxa"/>
          </w:tcPr>
          <w:p w14:paraId="7D5B40CB"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Analisa diferentes soluções frente a um problema apresentado.</w:t>
            </w:r>
          </w:p>
        </w:tc>
      </w:tr>
      <w:tr w:rsidR="00EF4E78" w:rsidRPr="00451E72" w14:paraId="4F3D1651" w14:textId="77777777">
        <w:trPr>
          <w:cantSplit/>
          <w:trHeight w:val="798"/>
        </w:trPr>
        <w:tc>
          <w:tcPr>
            <w:tcW w:w="988" w:type="dxa"/>
            <w:vAlign w:val="center"/>
          </w:tcPr>
          <w:p w14:paraId="73997F3C"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14</w:t>
            </w:r>
          </w:p>
        </w:tc>
        <w:tc>
          <w:tcPr>
            <w:tcW w:w="3402" w:type="dxa"/>
          </w:tcPr>
          <w:p w14:paraId="62B30426"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Reflexiona en torno a los aprendizajes y </w:t>
            </w:r>
            <w:proofErr w:type="spellStart"/>
            <w:r w:rsidRPr="00C820AA">
              <w:rPr>
                <w:rFonts w:ascii="Times New Roman" w:eastAsia="Calibri" w:hAnsi="Times New Roman" w:cs="Times New Roman"/>
                <w:lang w:val="es-419"/>
              </w:rPr>
              <w:t>desafios</w:t>
            </w:r>
            <w:proofErr w:type="spellEnd"/>
            <w:r w:rsidRPr="00C820AA">
              <w:rPr>
                <w:rFonts w:ascii="Times New Roman" w:eastAsia="Calibri" w:hAnsi="Times New Roman" w:cs="Times New Roman"/>
                <w:lang w:val="es-419"/>
              </w:rPr>
              <w:t xml:space="preserve"> propuestos por los docentes.</w:t>
            </w:r>
          </w:p>
        </w:tc>
        <w:tc>
          <w:tcPr>
            <w:tcW w:w="4677" w:type="dxa"/>
          </w:tcPr>
          <w:p w14:paraId="08B3209E"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Reflete sobre as aprendizagens e os desafios propostos pelos(as) professores(as).</w:t>
            </w:r>
          </w:p>
          <w:p w14:paraId="5AF6F5B5" w14:textId="77777777" w:rsidR="00EF4E78" w:rsidRPr="00451E72" w:rsidRDefault="00EF4E78">
            <w:pPr>
              <w:spacing w:line="360" w:lineRule="auto"/>
              <w:ind w:left="0" w:hanging="2"/>
              <w:jc w:val="both"/>
              <w:textDirection w:val="lrTb"/>
              <w:rPr>
                <w:rFonts w:ascii="Times New Roman" w:eastAsia="Calibri" w:hAnsi="Times New Roman" w:cs="Times New Roman"/>
              </w:rPr>
            </w:pPr>
          </w:p>
        </w:tc>
      </w:tr>
      <w:tr w:rsidR="00EF4E78" w:rsidRPr="00451E72" w14:paraId="4D6A3331" w14:textId="77777777">
        <w:trPr>
          <w:cantSplit/>
          <w:trHeight w:val="654"/>
        </w:trPr>
        <w:tc>
          <w:tcPr>
            <w:tcW w:w="988" w:type="dxa"/>
            <w:vAlign w:val="center"/>
          </w:tcPr>
          <w:p w14:paraId="758DFB09"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15</w:t>
            </w:r>
          </w:p>
        </w:tc>
        <w:tc>
          <w:tcPr>
            <w:tcW w:w="3402" w:type="dxa"/>
          </w:tcPr>
          <w:p w14:paraId="62E491C3"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Relaciona con efectividad conocimientos </w:t>
            </w:r>
            <w:proofErr w:type="spellStart"/>
            <w:r w:rsidRPr="00C820AA">
              <w:rPr>
                <w:rFonts w:ascii="Times New Roman" w:eastAsia="Calibri" w:hAnsi="Times New Roman" w:cs="Times New Roman"/>
                <w:lang w:val="es-419"/>
              </w:rPr>
              <w:t>prévios</w:t>
            </w:r>
            <w:proofErr w:type="spellEnd"/>
            <w:r w:rsidRPr="00C820AA">
              <w:rPr>
                <w:rFonts w:ascii="Times New Roman" w:eastAsia="Calibri" w:hAnsi="Times New Roman" w:cs="Times New Roman"/>
                <w:lang w:val="es-419"/>
              </w:rPr>
              <w:t xml:space="preserve"> e conocimientos nuevos.</w:t>
            </w:r>
          </w:p>
        </w:tc>
        <w:tc>
          <w:tcPr>
            <w:tcW w:w="4677" w:type="dxa"/>
          </w:tcPr>
          <w:p w14:paraId="75B8CBAA"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Relaciona de forma efetiva conhecimentos prévios e conhecimentos novos.</w:t>
            </w:r>
          </w:p>
        </w:tc>
      </w:tr>
      <w:tr w:rsidR="00EF4E78" w:rsidRPr="00451E72" w14:paraId="42F56245" w14:textId="77777777">
        <w:trPr>
          <w:cantSplit/>
          <w:trHeight w:val="416"/>
        </w:trPr>
        <w:tc>
          <w:tcPr>
            <w:tcW w:w="988" w:type="dxa"/>
            <w:vAlign w:val="center"/>
          </w:tcPr>
          <w:p w14:paraId="7E3AB125"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lastRenderedPageBreak/>
              <w:t>Item 16</w:t>
            </w:r>
          </w:p>
        </w:tc>
        <w:tc>
          <w:tcPr>
            <w:tcW w:w="3402" w:type="dxa"/>
          </w:tcPr>
          <w:p w14:paraId="2CAACA2F"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Evidencia una capacidad superior para aprender de forma efectiva nueva información en algunas asignaturas o áreas específicas. </w:t>
            </w:r>
          </w:p>
        </w:tc>
        <w:tc>
          <w:tcPr>
            <w:tcW w:w="4677" w:type="dxa"/>
          </w:tcPr>
          <w:p w14:paraId="2F1B3CB9"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Evidencia uma capacidade superior para aprender de forma efetiva informações novas em algumas disciplinas ou áreas específicas.</w:t>
            </w:r>
          </w:p>
        </w:tc>
      </w:tr>
      <w:tr w:rsidR="00EF4E78" w:rsidRPr="00451E72" w14:paraId="2868E85D" w14:textId="77777777">
        <w:trPr>
          <w:cantSplit/>
          <w:trHeight w:val="370"/>
        </w:trPr>
        <w:tc>
          <w:tcPr>
            <w:tcW w:w="988" w:type="dxa"/>
            <w:vAlign w:val="center"/>
          </w:tcPr>
          <w:p w14:paraId="5AC7BB78"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17</w:t>
            </w:r>
          </w:p>
        </w:tc>
        <w:tc>
          <w:tcPr>
            <w:tcW w:w="3402" w:type="dxa"/>
          </w:tcPr>
          <w:p w14:paraId="3B6FD298"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proofErr w:type="spellStart"/>
            <w:r w:rsidRPr="00C820AA">
              <w:rPr>
                <w:rFonts w:ascii="Times New Roman" w:eastAsia="Calibri" w:hAnsi="Times New Roman" w:cs="Times New Roman"/>
                <w:lang w:val="es-419"/>
              </w:rPr>
              <w:t>És</w:t>
            </w:r>
            <w:proofErr w:type="spellEnd"/>
            <w:r w:rsidRPr="00C820AA">
              <w:rPr>
                <w:rFonts w:ascii="Times New Roman" w:eastAsia="Calibri" w:hAnsi="Times New Roman" w:cs="Times New Roman"/>
                <w:lang w:val="es-419"/>
              </w:rPr>
              <w:t xml:space="preserve"> capaz de aprender de forma rápida información de su interés</w:t>
            </w:r>
          </w:p>
        </w:tc>
        <w:tc>
          <w:tcPr>
            <w:tcW w:w="4677" w:type="dxa"/>
          </w:tcPr>
          <w:p w14:paraId="4BEEEF8E"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É capaz de aprender rapidamente informações que são do seu interesse.</w:t>
            </w:r>
          </w:p>
        </w:tc>
      </w:tr>
      <w:tr w:rsidR="00EF4E78" w:rsidRPr="00451E72" w14:paraId="29544448" w14:textId="77777777">
        <w:trPr>
          <w:cantSplit/>
          <w:trHeight w:val="538"/>
        </w:trPr>
        <w:tc>
          <w:tcPr>
            <w:tcW w:w="988" w:type="dxa"/>
            <w:vAlign w:val="center"/>
          </w:tcPr>
          <w:p w14:paraId="5BA70017"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18</w:t>
            </w:r>
          </w:p>
        </w:tc>
        <w:tc>
          <w:tcPr>
            <w:tcW w:w="3402" w:type="dxa"/>
          </w:tcPr>
          <w:p w14:paraId="30BB570F"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 xml:space="preserve">Se </w:t>
            </w:r>
            <w:proofErr w:type="spellStart"/>
            <w:r w:rsidRPr="00451E72">
              <w:rPr>
                <w:rFonts w:ascii="Times New Roman" w:eastAsia="Calibri" w:hAnsi="Times New Roman" w:cs="Times New Roman"/>
              </w:rPr>
              <w:t>adelanta</w:t>
            </w:r>
            <w:proofErr w:type="spellEnd"/>
            <w:r w:rsidRPr="00451E72">
              <w:rPr>
                <w:rFonts w:ascii="Times New Roman" w:eastAsia="Calibri" w:hAnsi="Times New Roman" w:cs="Times New Roman"/>
              </w:rPr>
              <w:t xml:space="preserve"> a sus pares em </w:t>
            </w:r>
            <w:proofErr w:type="spellStart"/>
            <w:r w:rsidRPr="00451E72">
              <w:rPr>
                <w:rFonts w:ascii="Times New Roman" w:eastAsia="Calibri" w:hAnsi="Times New Roman" w:cs="Times New Roman"/>
              </w:rPr>
              <w:t>algunas</w:t>
            </w:r>
            <w:proofErr w:type="spellEnd"/>
            <w:r w:rsidRPr="00451E72">
              <w:rPr>
                <w:rFonts w:ascii="Times New Roman" w:eastAsia="Calibri" w:hAnsi="Times New Roman" w:cs="Times New Roman"/>
              </w:rPr>
              <w:t xml:space="preserve"> áreas de </w:t>
            </w:r>
            <w:proofErr w:type="spellStart"/>
            <w:r w:rsidRPr="00451E72">
              <w:rPr>
                <w:rFonts w:ascii="Times New Roman" w:eastAsia="Calibri" w:hAnsi="Times New Roman" w:cs="Times New Roman"/>
              </w:rPr>
              <w:t>desarrollo</w:t>
            </w:r>
            <w:proofErr w:type="spellEnd"/>
            <w:r w:rsidRPr="00451E72">
              <w:rPr>
                <w:rFonts w:ascii="Times New Roman" w:eastAsia="Calibri" w:hAnsi="Times New Roman" w:cs="Times New Roman"/>
              </w:rPr>
              <w:t xml:space="preserve">. </w:t>
            </w:r>
          </w:p>
        </w:tc>
        <w:tc>
          <w:tcPr>
            <w:tcW w:w="4677" w:type="dxa"/>
          </w:tcPr>
          <w:p w14:paraId="1E07B916"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Apresenta desempenho superior que seus colegas em algumas áreas de desenvolvimento.</w:t>
            </w:r>
          </w:p>
        </w:tc>
      </w:tr>
      <w:tr w:rsidR="00EF4E78" w:rsidRPr="00451E72" w14:paraId="553F9E06" w14:textId="77777777">
        <w:trPr>
          <w:cantSplit/>
          <w:trHeight w:val="62"/>
        </w:trPr>
        <w:tc>
          <w:tcPr>
            <w:tcW w:w="9067" w:type="dxa"/>
            <w:gridSpan w:val="3"/>
            <w:vAlign w:val="center"/>
          </w:tcPr>
          <w:p w14:paraId="20CC35FB"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Dimensão emocional/comportamental</w:t>
            </w:r>
          </w:p>
        </w:tc>
      </w:tr>
      <w:tr w:rsidR="00EF4E78" w:rsidRPr="00451E72" w14:paraId="7420088D" w14:textId="77777777">
        <w:trPr>
          <w:cantSplit/>
          <w:trHeight w:val="419"/>
        </w:trPr>
        <w:tc>
          <w:tcPr>
            <w:tcW w:w="988" w:type="dxa"/>
            <w:vAlign w:val="center"/>
          </w:tcPr>
          <w:p w14:paraId="049E1CBB"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w:t>
            </w:r>
          </w:p>
        </w:tc>
        <w:tc>
          <w:tcPr>
            <w:tcW w:w="3402" w:type="dxa"/>
          </w:tcPr>
          <w:p w14:paraId="40C0EF86"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Considera su condición como algo negativo o como un defecto.</w:t>
            </w:r>
          </w:p>
        </w:tc>
        <w:tc>
          <w:tcPr>
            <w:tcW w:w="4677" w:type="dxa"/>
          </w:tcPr>
          <w:p w14:paraId="44B1CD5B"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Considera sua condição como algo negativo ou como um defeito.</w:t>
            </w:r>
          </w:p>
        </w:tc>
      </w:tr>
      <w:tr w:rsidR="00EF4E78" w:rsidRPr="00451E72" w14:paraId="6AD37E3D" w14:textId="77777777">
        <w:trPr>
          <w:cantSplit/>
          <w:trHeight w:val="736"/>
        </w:trPr>
        <w:tc>
          <w:tcPr>
            <w:tcW w:w="988" w:type="dxa"/>
            <w:vAlign w:val="center"/>
          </w:tcPr>
          <w:p w14:paraId="0BF50A07"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2</w:t>
            </w:r>
          </w:p>
        </w:tc>
        <w:tc>
          <w:tcPr>
            <w:tcW w:w="3402" w:type="dxa"/>
          </w:tcPr>
          <w:p w14:paraId="528E6B4F"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Se muestra inquieto y presenta movimientos estereotipados en situaciones de estrés.</w:t>
            </w:r>
          </w:p>
        </w:tc>
        <w:tc>
          <w:tcPr>
            <w:tcW w:w="4677" w:type="dxa"/>
          </w:tcPr>
          <w:p w14:paraId="3CB79B74"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Se mostra inquieto e apresenta movimentos estereotipados em situações de estresse.</w:t>
            </w:r>
          </w:p>
        </w:tc>
      </w:tr>
      <w:tr w:rsidR="00EF4E78" w:rsidRPr="00451E72" w14:paraId="7204BDE2" w14:textId="77777777">
        <w:trPr>
          <w:cantSplit/>
          <w:trHeight w:val="635"/>
        </w:trPr>
        <w:tc>
          <w:tcPr>
            <w:tcW w:w="988" w:type="dxa"/>
            <w:vAlign w:val="center"/>
          </w:tcPr>
          <w:p w14:paraId="4E9EE6D7"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3</w:t>
            </w:r>
          </w:p>
        </w:tc>
        <w:tc>
          <w:tcPr>
            <w:tcW w:w="3402" w:type="dxa"/>
          </w:tcPr>
          <w:p w14:paraId="410AA989"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Es sensible frente a los problemas o </w:t>
            </w:r>
            <w:proofErr w:type="spellStart"/>
            <w:r w:rsidRPr="00C820AA">
              <w:rPr>
                <w:rFonts w:ascii="Times New Roman" w:eastAsia="Calibri" w:hAnsi="Times New Roman" w:cs="Times New Roman"/>
                <w:lang w:val="es-419"/>
              </w:rPr>
              <w:t>conflitos</w:t>
            </w:r>
            <w:proofErr w:type="spellEnd"/>
            <w:r w:rsidRPr="00C820AA">
              <w:rPr>
                <w:rFonts w:ascii="Times New Roman" w:eastAsia="Calibri" w:hAnsi="Times New Roman" w:cs="Times New Roman"/>
                <w:lang w:val="es-419"/>
              </w:rPr>
              <w:t xml:space="preserve"> de los demás.</w:t>
            </w:r>
          </w:p>
        </w:tc>
        <w:tc>
          <w:tcPr>
            <w:tcW w:w="4677" w:type="dxa"/>
          </w:tcPr>
          <w:p w14:paraId="5116C808"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É sensível diante de problemas ou conflitos dos outros.</w:t>
            </w:r>
          </w:p>
        </w:tc>
      </w:tr>
      <w:tr w:rsidR="00EF4E78" w:rsidRPr="00451E72" w14:paraId="22EB5ACD" w14:textId="77777777">
        <w:trPr>
          <w:cantSplit/>
          <w:trHeight w:val="661"/>
        </w:trPr>
        <w:tc>
          <w:tcPr>
            <w:tcW w:w="988" w:type="dxa"/>
            <w:vAlign w:val="center"/>
          </w:tcPr>
          <w:p w14:paraId="3AF58548"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4</w:t>
            </w:r>
          </w:p>
        </w:tc>
        <w:tc>
          <w:tcPr>
            <w:tcW w:w="3402" w:type="dxa"/>
          </w:tcPr>
          <w:p w14:paraId="7806F07F"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Espera frecuentemente obtener </w:t>
            </w:r>
            <w:proofErr w:type="spellStart"/>
            <w:r w:rsidRPr="00C820AA">
              <w:rPr>
                <w:rFonts w:ascii="Times New Roman" w:eastAsia="Calibri" w:hAnsi="Times New Roman" w:cs="Times New Roman"/>
                <w:lang w:val="es-419"/>
              </w:rPr>
              <w:t>êxito</w:t>
            </w:r>
            <w:proofErr w:type="spellEnd"/>
            <w:r w:rsidRPr="00C820AA">
              <w:rPr>
                <w:rFonts w:ascii="Times New Roman" w:eastAsia="Calibri" w:hAnsi="Times New Roman" w:cs="Times New Roman"/>
                <w:lang w:val="es-419"/>
              </w:rPr>
              <w:t xml:space="preserve"> en las tareas u acciones que </w:t>
            </w:r>
            <w:proofErr w:type="spellStart"/>
            <w:r w:rsidRPr="00C820AA">
              <w:rPr>
                <w:rFonts w:ascii="Times New Roman" w:eastAsia="Calibri" w:hAnsi="Times New Roman" w:cs="Times New Roman"/>
                <w:lang w:val="es-419"/>
              </w:rPr>
              <w:t>empreende</w:t>
            </w:r>
            <w:proofErr w:type="spellEnd"/>
            <w:r w:rsidRPr="00C820AA">
              <w:rPr>
                <w:rFonts w:ascii="Times New Roman" w:eastAsia="Calibri" w:hAnsi="Times New Roman" w:cs="Times New Roman"/>
                <w:lang w:val="es-419"/>
              </w:rPr>
              <w:t>.</w:t>
            </w:r>
          </w:p>
        </w:tc>
        <w:tc>
          <w:tcPr>
            <w:tcW w:w="4677" w:type="dxa"/>
          </w:tcPr>
          <w:p w14:paraId="3D453412"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Espera, frequentemente, obter êxito nas tarefas ou ações em que se compromete.</w:t>
            </w:r>
          </w:p>
        </w:tc>
      </w:tr>
      <w:tr w:rsidR="00EF4E78" w:rsidRPr="00451E72" w14:paraId="3C6FCA9E" w14:textId="77777777">
        <w:trPr>
          <w:cantSplit/>
          <w:trHeight w:val="421"/>
        </w:trPr>
        <w:tc>
          <w:tcPr>
            <w:tcW w:w="988" w:type="dxa"/>
            <w:vAlign w:val="center"/>
          </w:tcPr>
          <w:p w14:paraId="3A073028"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5</w:t>
            </w:r>
          </w:p>
        </w:tc>
        <w:tc>
          <w:tcPr>
            <w:tcW w:w="3402" w:type="dxa"/>
          </w:tcPr>
          <w:p w14:paraId="40CF4586"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Considera que sus acciones frente a una tarea no son suficientes para lograr </w:t>
            </w:r>
            <w:proofErr w:type="spellStart"/>
            <w:r w:rsidRPr="00C820AA">
              <w:rPr>
                <w:rFonts w:ascii="Times New Roman" w:eastAsia="Calibri" w:hAnsi="Times New Roman" w:cs="Times New Roman"/>
                <w:lang w:val="es-419"/>
              </w:rPr>
              <w:t>um</w:t>
            </w:r>
            <w:proofErr w:type="spellEnd"/>
            <w:r w:rsidRPr="00C820AA">
              <w:rPr>
                <w:rFonts w:ascii="Times New Roman" w:eastAsia="Calibri" w:hAnsi="Times New Roman" w:cs="Times New Roman"/>
                <w:lang w:val="es-419"/>
              </w:rPr>
              <w:t xml:space="preserve"> buen resultado.</w:t>
            </w:r>
          </w:p>
        </w:tc>
        <w:tc>
          <w:tcPr>
            <w:tcW w:w="4677" w:type="dxa"/>
          </w:tcPr>
          <w:p w14:paraId="6AAAFB18"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Considera que suas ações diante de uma tarefa não são suficientes para obter um bom resultado.</w:t>
            </w:r>
          </w:p>
        </w:tc>
      </w:tr>
      <w:tr w:rsidR="00EF4E78" w:rsidRPr="00451E72" w14:paraId="7324C3A7" w14:textId="77777777">
        <w:trPr>
          <w:cantSplit/>
          <w:trHeight w:val="85"/>
        </w:trPr>
        <w:tc>
          <w:tcPr>
            <w:tcW w:w="988" w:type="dxa"/>
            <w:vAlign w:val="center"/>
          </w:tcPr>
          <w:p w14:paraId="27BCF5C1"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6</w:t>
            </w:r>
          </w:p>
        </w:tc>
        <w:tc>
          <w:tcPr>
            <w:tcW w:w="3402" w:type="dxa"/>
          </w:tcPr>
          <w:p w14:paraId="172CA53D"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 xml:space="preserve">Se </w:t>
            </w:r>
            <w:proofErr w:type="spellStart"/>
            <w:r w:rsidRPr="00451E72">
              <w:rPr>
                <w:rFonts w:ascii="Times New Roman" w:eastAsia="Calibri" w:hAnsi="Times New Roman" w:cs="Times New Roman"/>
              </w:rPr>
              <w:t>siente</w:t>
            </w:r>
            <w:proofErr w:type="spellEnd"/>
            <w:r w:rsidRPr="00451E72">
              <w:rPr>
                <w:rFonts w:ascii="Times New Roman" w:eastAsia="Calibri" w:hAnsi="Times New Roman" w:cs="Times New Roman"/>
              </w:rPr>
              <w:t xml:space="preserve"> inferior frente a sus pares (menos capaz).</w:t>
            </w:r>
          </w:p>
        </w:tc>
        <w:tc>
          <w:tcPr>
            <w:tcW w:w="4677" w:type="dxa"/>
          </w:tcPr>
          <w:p w14:paraId="26CBCA83"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Se sente inferior (menos capaz) em relação aos seus colegas.</w:t>
            </w:r>
          </w:p>
        </w:tc>
      </w:tr>
      <w:tr w:rsidR="00EF4E78" w:rsidRPr="00451E72" w14:paraId="1FAFC45A" w14:textId="77777777">
        <w:trPr>
          <w:cantSplit/>
          <w:trHeight w:val="123"/>
        </w:trPr>
        <w:tc>
          <w:tcPr>
            <w:tcW w:w="988" w:type="dxa"/>
            <w:vAlign w:val="center"/>
          </w:tcPr>
          <w:p w14:paraId="6472C31E"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7</w:t>
            </w:r>
          </w:p>
        </w:tc>
        <w:tc>
          <w:tcPr>
            <w:tcW w:w="3402" w:type="dxa"/>
          </w:tcPr>
          <w:p w14:paraId="21B45401" w14:textId="77777777" w:rsidR="00EF4E78" w:rsidRPr="00451E72" w:rsidRDefault="00EF4E78">
            <w:pPr>
              <w:spacing w:line="360" w:lineRule="auto"/>
              <w:ind w:left="0" w:hanging="2"/>
              <w:jc w:val="both"/>
              <w:textDirection w:val="lrTb"/>
              <w:rPr>
                <w:rFonts w:ascii="Times New Roman" w:eastAsia="Calibri" w:hAnsi="Times New Roman" w:cs="Times New Roman"/>
              </w:rPr>
            </w:pPr>
            <w:proofErr w:type="spellStart"/>
            <w:r w:rsidRPr="00451E72">
              <w:rPr>
                <w:rFonts w:ascii="Times New Roman" w:eastAsia="Calibri" w:hAnsi="Times New Roman" w:cs="Times New Roman"/>
              </w:rPr>
              <w:t>Expresa</w:t>
            </w:r>
            <w:proofErr w:type="spellEnd"/>
            <w:r w:rsidRPr="00451E72">
              <w:rPr>
                <w:rFonts w:ascii="Times New Roman" w:eastAsia="Calibri" w:hAnsi="Times New Roman" w:cs="Times New Roman"/>
              </w:rPr>
              <w:t xml:space="preserve"> </w:t>
            </w:r>
            <w:proofErr w:type="spellStart"/>
            <w:r w:rsidRPr="00451E72">
              <w:rPr>
                <w:rFonts w:ascii="Times New Roman" w:eastAsia="Calibri" w:hAnsi="Times New Roman" w:cs="Times New Roman"/>
              </w:rPr>
              <w:t>inconformidad</w:t>
            </w:r>
            <w:proofErr w:type="spellEnd"/>
            <w:r w:rsidRPr="00451E72">
              <w:rPr>
                <w:rFonts w:ascii="Times New Roman" w:eastAsia="Calibri" w:hAnsi="Times New Roman" w:cs="Times New Roman"/>
              </w:rPr>
              <w:t xml:space="preserve"> frente a </w:t>
            </w:r>
            <w:proofErr w:type="spellStart"/>
            <w:r w:rsidRPr="00451E72">
              <w:rPr>
                <w:rFonts w:ascii="Times New Roman" w:eastAsia="Calibri" w:hAnsi="Times New Roman" w:cs="Times New Roman"/>
              </w:rPr>
              <w:t>las</w:t>
            </w:r>
            <w:proofErr w:type="spellEnd"/>
            <w:r w:rsidRPr="00451E72">
              <w:rPr>
                <w:rFonts w:ascii="Times New Roman" w:eastAsia="Calibri" w:hAnsi="Times New Roman" w:cs="Times New Roman"/>
              </w:rPr>
              <w:t xml:space="preserve"> </w:t>
            </w:r>
            <w:proofErr w:type="spellStart"/>
            <w:r w:rsidRPr="00451E72">
              <w:rPr>
                <w:rFonts w:ascii="Times New Roman" w:eastAsia="Calibri" w:hAnsi="Times New Roman" w:cs="Times New Roman"/>
              </w:rPr>
              <w:t>tareas</w:t>
            </w:r>
            <w:proofErr w:type="spellEnd"/>
            <w:r w:rsidRPr="00451E72">
              <w:rPr>
                <w:rFonts w:ascii="Times New Roman" w:eastAsia="Calibri" w:hAnsi="Times New Roman" w:cs="Times New Roman"/>
              </w:rPr>
              <w:t xml:space="preserve"> realizadas.</w:t>
            </w:r>
          </w:p>
        </w:tc>
        <w:tc>
          <w:tcPr>
            <w:tcW w:w="4677" w:type="dxa"/>
          </w:tcPr>
          <w:p w14:paraId="1E0778BE"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Expressa inconformismo frente as tarefas realizadas.</w:t>
            </w:r>
          </w:p>
        </w:tc>
      </w:tr>
      <w:tr w:rsidR="00EF4E78" w:rsidRPr="00451E72" w14:paraId="79A18C75" w14:textId="77777777">
        <w:trPr>
          <w:cantSplit/>
          <w:trHeight w:val="419"/>
        </w:trPr>
        <w:tc>
          <w:tcPr>
            <w:tcW w:w="988" w:type="dxa"/>
            <w:vAlign w:val="center"/>
          </w:tcPr>
          <w:p w14:paraId="350C746E"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8</w:t>
            </w:r>
          </w:p>
        </w:tc>
        <w:tc>
          <w:tcPr>
            <w:tcW w:w="3402" w:type="dxa"/>
          </w:tcPr>
          <w:p w14:paraId="39DB8198"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Su opinión personal sobre su capacidad tiende a ser inferior a la realidad.</w:t>
            </w:r>
          </w:p>
        </w:tc>
        <w:tc>
          <w:tcPr>
            <w:tcW w:w="4677" w:type="dxa"/>
          </w:tcPr>
          <w:p w14:paraId="350771B2"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Sua opinião pessoal sobre a sua capacidade tende a ser inferior à realidade.</w:t>
            </w:r>
          </w:p>
        </w:tc>
      </w:tr>
      <w:tr w:rsidR="00EF4E78" w:rsidRPr="00451E72" w14:paraId="33FBB870" w14:textId="77777777">
        <w:trPr>
          <w:cantSplit/>
          <w:trHeight w:val="277"/>
        </w:trPr>
        <w:tc>
          <w:tcPr>
            <w:tcW w:w="9067" w:type="dxa"/>
            <w:gridSpan w:val="3"/>
            <w:vAlign w:val="center"/>
          </w:tcPr>
          <w:p w14:paraId="459659B1"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Dimensão social</w:t>
            </w:r>
          </w:p>
        </w:tc>
      </w:tr>
      <w:tr w:rsidR="00EF4E78" w:rsidRPr="00451E72" w14:paraId="10D9B154" w14:textId="77777777">
        <w:trPr>
          <w:cantSplit/>
          <w:trHeight w:val="835"/>
        </w:trPr>
        <w:tc>
          <w:tcPr>
            <w:tcW w:w="988" w:type="dxa"/>
            <w:vAlign w:val="center"/>
          </w:tcPr>
          <w:p w14:paraId="5ADF720F"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1</w:t>
            </w:r>
          </w:p>
        </w:tc>
        <w:tc>
          <w:tcPr>
            <w:tcW w:w="3402" w:type="dxa"/>
          </w:tcPr>
          <w:p w14:paraId="49278D54"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Expresa su </w:t>
            </w:r>
            <w:proofErr w:type="spellStart"/>
            <w:r w:rsidRPr="00C820AA">
              <w:rPr>
                <w:rFonts w:ascii="Times New Roman" w:eastAsia="Calibri" w:hAnsi="Times New Roman" w:cs="Times New Roman"/>
                <w:lang w:val="es-419"/>
              </w:rPr>
              <w:t>inconformidade</w:t>
            </w:r>
            <w:proofErr w:type="spellEnd"/>
            <w:r w:rsidRPr="00C820AA">
              <w:rPr>
                <w:rFonts w:ascii="Times New Roman" w:eastAsia="Calibri" w:hAnsi="Times New Roman" w:cs="Times New Roman"/>
                <w:lang w:val="es-419"/>
              </w:rPr>
              <w:t xml:space="preserve"> frente a situaciones que considera incorrectas y que son impuestas por una autoridad. </w:t>
            </w:r>
          </w:p>
        </w:tc>
        <w:tc>
          <w:tcPr>
            <w:tcW w:w="4677" w:type="dxa"/>
          </w:tcPr>
          <w:p w14:paraId="0D65AE3A"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Expressa inconformismo diante de situações que considera incorretas e que são impostas por uma autoridade.</w:t>
            </w:r>
          </w:p>
        </w:tc>
      </w:tr>
      <w:tr w:rsidR="00EF4E78" w:rsidRPr="00451E72" w14:paraId="05A98F2C" w14:textId="77777777">
        <w:trPr>
          <w:cantSplit/>
          <w:trHeight w:val="851"/>
        </w:trPr>
        <w:tc>
          <w:tcPr>
            <w:tcW w:w="988" w:type="dxa"/>
            <w:vAlign w:val="center"/>
          </w:tcPr>
          <w:p w14:paraId="0A749738"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lastRenderedPageBreak/>
              <w:t>Item 2</w:t>
            </w:r>
          </w:p>
        </w:tc>
        <w:tc>
          <w:tcPr>
            <w:tcW w:w="3402" w:type="dxa"/>
          </w:tcPr>
          <w:p w14:paraId="35D9FF8F"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Frecuentemente se enfrenta a conflictos con figuras de </w:t>
            </w:r>
            <w:proofErr w:type="spellStart"/>
            <w:r w:rsidRPr="00C820AA">
              <w:rPr>
                <w:rFonts w:ascii="Times New Roman" w:eastAsia="Calibri" w:hAnsi="Times New Roman" w:cs="Times New Roman"/>
                <w:lang w:val="es-419"/>
              </w:rPr>
              <w:t>autoridade</w:t>
            </w:r>
            <w:proofErr w:type="spellEnd"/>
            <w:r w:rsidRPr="00C820AA">
              <w:rPr>
                <w:rFonts w:ascii="Times New Roman" w:eastAsia="Calibri" w:hAnsi="Times New Roman" w:cs="Times New Roman"/>
                <w:lang w:val="es-419"/>
              </w:rPr>
              <w:t>.</w:t>
            </w:r>
          </w:p>
        </w:tc>
        <w:tc>
          <w:tcPr>
            <w:tcW w:w="4677" w:type="dxa"/>
          </w:tcPr>
          <w:p w14:paraId="072DDDFB"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Frequentemente enfrenta conflitos com figuras de autoridade.</w:t>
            </w:r>
          </w:p>
        </w:tc>
      </w:tr>
      <w:tr w:rsidR="00EF4E78" w:rsidRPr="00451E72" w14:paraId="3E47F903" w14:textId="77777777">
        <w:trPr>
          <w:cantSplit/>
          <w:trHeight w:val="96"/>
        </w:trPr>
        <w:tc>
          <w:tcPr>
            <w:tcW w:w="988" w:type="dxa"/>
            <w:vAlign w:val="center"/>
          </w:tcPr>
          <w:p w14:paraId="54E64C2C"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3</w:t>
            </w:r>
          </w:p>
        </w:tc>
        <w:tc>
          <w:tcPr>
            <w:tcW w:w="3402" w:type="dxa"/>
          </w:tcPr>
          <w:p w14:paraId="22050EE0"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Se ven afectados ante situaciones de injusticia social. </w:t>
            </w:r>
          </w:p>
        </w:tc>
        <w:tc>
          <w:tcPr>
            <w:tcW w:w="4677" w:type="dxa"/>
          </w:tcPr>
          <w:p w14:paraId="37186784"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Sente-se afetado por situações de injustiça social.</w:t>
            </w:r>
          </w:p>
        </w:tc>
      </w:tr>
      <w:tr w:rsidR="00EF4E78" w:rsidRPr="00451E72" w14:paraId="274E5404" w14:textId="77777777">
        <w:trPr>
          <w:cantSplit/>
          <w:trHeight w:val="96"/>
        </w:trPr>
        <w:tc>
          <w:tcPr>
            <w:tcW w:w="988" w:type="dxa"/>
            <w:vAlign w:val="center"/>
          </w:tcPr>
          <w:p w14:paraId="6A28BB8F"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4</w:t>
            </w:r>
          </w:p>
        </w:tc>
        <w:tc>
          <w:tcPr>
            <w:tcW w:w="3402" w:type="dxa"/>
          </w:tcPr>
          <w:p w14:paraId="37B04420"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Presenta dificultad al establecer relaciones de amistad entre pares. </w:t>
            </w:r>
          </w:p>
        </w:tc>
        <w:tc>
          <w:tcPr>
            <w:tcW w:w="4677" w:type="dxa"/>
          </w:tcPr>
          <w:p w14:paraId="00325E0A"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Apresenta dificuldade em estabelecer relações de amizade entre colegas.</w:t>
            </w:r>
          </w:p>
        </w:tc>
      </w:tr>
      <w:tr w:rsidR="00EF4E78" w:rsidRPr="00451E72" w14:paraId="00BB9F7B" w14:textId="77777777">
        <w:trPr>
          <w:cantSplit/>
          <w:trHeight w:val="96"/>
        </w:trPr>
        <w:tc>
          <w:tcPr>
            <w:tcW w:w="988" w:type="dxa"/>
            <w:vAlign w:val="center"/>
          </w:tcPr>
          <w:p w14:paraId="02F9E1A5" w14:textId="77777777" w:rsidR="00EF4E78" w:rsidRPr="00451E72" w:rsidRDefault="00EF4E78">
            <w:pPr>
              <w:spacing w:line="360" w:lineRule="auto"/>
              <w:ind w:left="0" w:hanging="2"/>
              <w:jc w:val="center"/>
              <w:textDirection w:val="lrTb"/>
              <w:rPr>
                <w:rFonts w:ascii="Times New Roman" w:eastAsia="Calibri" w:hAnsi="Times New Roman" w:cs="Times New Roman"/>
                <w:b/>
                <w:bCs/>
              </w:rPr>
            </w:pPr>
            <w:r w:rsidRPr="00451E72">
              <w:rPr>
                <w:rFonts w:ascii="Times New Roman" w:eastAsia="Calibri" w:hAnsi="Times New Roman" w:cs="Times New Roman"/>
                <w:b/>
                <w:bCs/>
              </w:rPr>
              <w:t>Item 5</w:t>
            </w:r>
          </w:p>
        </w:tc>
        <w:tc>
          <w:tcPr>
            <w:tcW w:w="3402" w:type="dxa"/>
          </w:tcPr>
          <w:p w14:paraId="47521DAE" w14:textId="77777777" w:rsidR="00EF4E78" w:rsidRPr="00C820AA" w:rsidRDefault="00EF4E78">
            <w:pPr>
              <w:spacing w:line="360" w:lineRule="auto"/>
              <w:ind w:left="0" w:hanging="2"/>
              <w:jc w:val="both"/>
              <w:textDirection w:val="lrTb"/>
              <w:rPr>
                <w:rFonts w:ascii="Times New Roman" w:eastAsia="Calibri" w:hAnsi="Times New Roman" w:cs="Times New Roman"/>
                <w:lang w:val="es-419"/>
              </w:rPr>
            </w:pPr>
            <w:r w:rsidRPr="00C820AA">
              <w:rPr>
                <w:rFonts w:ascii="Times New Roman" w:eastAsia="Calibri" w:hAnsi="Times New Roman" w:cs="Times New Roman"/>
                <w:lang w:val="es-419"/>
              </w:rPr>
              <w:t xml:space="preserve">Demuestra dificultad al trabajar en grupos de trabajo entre pares. </w:t>
            </w:r>
          </w:p>
        </w:tc>
        <w:tc>
          <w:tcPr>
            <w:tcW w:w="4677" w:type="dxa"/>
          </w:tcPr>
          <w:p w14:paraId="34497288" w14:textId="77777777" w:rsidR="00EF4E78" w:rsidRPr="00451E72" w:rsidRDefault="00EF4E78">
            <w:pPr>
              <w:spacing w:line="360" w:lineRule="auto"/>
              <w:ind w:left="0" w:hanging="2"/>
              <w:jc w:val="both"/>
              <w:textDirection w:val="lrTb"/>
              <w:rPr>
                <w:rFonts w:ascii="Times New Roman" w:eastAsia="Calibri" w:hAnsi="Times New Roman" w:cs="Times New Roman"/>
              </w:rPr>
            </w:pPr>
            <w:r w:rsidRPr="00451E72">
              <w:rPr>
                <w:rFonts w:ascii="Times New Roman" w:eastAsia="Calibri" w:hAnsi="Times New Roman" w:cs="Times New Roman"/>
              </w:rPr>
              <w:t>Demonstra dificuldade para trabalhar em grupos de trabalhos entre colegas.</w:t>
            </w:r>
          </w:p>
        </w:tc>
      </w:tr>
    </w:tbl>
    <w:p w14:paraId="38E1DD84" w14:textId="77777777" w:rsidR="00EF4E78" w:rsidRPr="007B5652" w:rsidRDefault="00EF4E78" w:rsidP="00EF4E78">
      <w:pPr>
        <w:autoSpaceDE w:val="0"/>
        <w:autoSpaceDN w:val="0"/>
        <w:adjustRightInd w:val="0"/>
        <w:spacing w:line="360" w:lineRule="auto"/>
        <w:ind w:left="0" w:hanging="2"/>
        <w:jc w:val="center"/>
        <w:rPr>
          <w:rFonts w:ascii="Times New Roman" w:hAnsi="Times New Roman" w:cs="Times New Roman"/>
        </w:rPr>
      </w:pPr>
      <w:r w:rsidRPr="007B5652">
        <w:rPr>
          <w:rFonts w:ascii="Times New Roman" w:hAnsi="Times New Roman" w:cs="Times New Roman"/>
        </w:rPr>
        <w:t>Fonte: elaboração própria, 2025.</w:t>
      </w:r>
    </w:p>
    <w:p w14:paraId="4BFBF4C2" w14:textId="77777777" w:rsidR="00EF4E78" w:rsidRPr="00451E72" w:rsidRDefault="00EF4E78" w:rsidP="00EF4E78">
      <w:pPr>
        <w:pStyle w:val="Ttulo1"/>
        <w:spacing w:before="0" w:line="360" w:lineRule="auto"/>
        <w:ind w:left="0" w:hanging="2"/>
        <w:jc w:val="both"/>
        <w:rPr>
          <w:rFonts w:ascii="Times New Roman" w:hAnsi="Times New Roman" w:cs="Times New Roman"/>
          <w:b/>
          <w:bCs/>
          <w:sz w:val="24"/>
          <w:szCs w:val="24"/>
          <w:lang w:eastAsia="en-US"/>
        </w:rPr>
      </w:pPr>
      <w:r w:rsidRPr="00451E72">
        <w:rPr>
          <w:rFonts w:ascii="Times New Roman" w:hAnsi="Times New Roman" w:cs="Times New Roman"/>
          <w:sz w:val="24"/>
          <w:szCs w:val="24"/>
          <w:lang w:eastAsia="en-US"/>
        </w:rPr>
        <w:t>De modo geral, as decisões tomadas na fase de harmonização refletem a busca por uma versão clara, coesa e culturalmente apropriada da escala. A eliminação de ambiguidades, a padronização da linguagem e o respeito à estrutura original do instrumento contribuíram para a produção de uma versão linguística e conceitualmente equivalente ao modelo chileno, adequada ao uso no Brasil e pronta para as próximas etapas de investigação.</w:t>
      </w:r>
    </w:p>
    <w:p w14:paraId="1BE999AF" w14:textId="77777777" w:rsidR="00EF4E78" w:rsidRPr="00451E72" w:rsidRDefault="00EF4E78" w:rsidP="00EF4E78">
      <w:pPr>
        <w:spacing w:line="360" w:lineRule="auto"/>
        <w:ind w:left="0" w:hanging="2"/>
        <w:jc w:val="both"/>
        <w:rPr>
          <w:rFonts w:ascii="Times New Roman" w:eastAsia="Times New Roman" w:hAnsi="Times New Roman" w:cs="Times New Roman"/>
          <w:b/>
          <w:sz w:val="24"/>
          <w:szCs w:val="24"/>
        </w:rPr>
      </w:pPr>
      <w:r w:rsidRPr="00451E72">
        <w:rPr>
          <w:rFonts w:ascii="Times New Roman" w:eastAsia="Times New Roman" w:hAnsi="Times New Roman" w:cs="Times New Roman"/>
          <w:b/>
          <w:sz w:val="24"/>
          <w:szCs w:val="24"/>
        </w:rPr>
        <w:t>Conclusões</w:t>
      </w:r>
    </w:p>
    <w:p w14:paraId="6BB994EE"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A adaptação transcultural da </w:t>
      </w:r>
      <w:r w:rsidRPr="00451E72">
        <w:rPr>
          <w:rFonts w:ascii="Times New Roman" w:hAnsi="Times New Roman" w:cs="Times New Roman"/>
          <w:i/>
          <w:iCs/>
          <w:sz w:val="24"/>
          <w:szCs w:val="24"/>
        </w:rPr>
        <w:t xml:space="preserve">Escala de </w:t>
      </w:r>
      <w:proofErr w:type="spellStart"/>
      <w:r w:rsidRPr="00451E72">
        <w:rPr>
          <w:rFonts w:ascii="Times New Roman" w:hAnsi="Times New Roman" w:cs="Times New Roman"/>
          <w:i/>
          <w:iCs/>
          <w:sz w:val="24"/>
          <w:szCs w:val="24"/>
        </w:rPr>
        <w:t>Identificación</w:t>
      </w:r>
      <w:proofErr w:type="spellEnd"/>
      <w:r w:rsidRPr="00451E72">
        <w:rPr>
          <w:rFonts w:ascii="Times New Roman" w:hAnsi="Times New Roman" w:cs="Times New Roman"/>
          <w:i/>
          <w:iCs/>
          <w:sz w:val="24"/>
          <w:szCs w:val="24"/>
        </w:rPr>
        <w:t xml:space="preserve"> de Estudiantes </w:t>
      </w:r>
      <w:proofErr w:type="spellStart"/>
      <w:r w:rsidRPr="00451E72">
        <w:rPr>
          <w:rFonts w:ascii="Times New Roman" w:hAnsi="Times New Roman" w:cs="Times New Roman"/>
          <w:i/>
          <w:iCs/>
          <w:sz w:val="24"/>
          <w:szCs w:val="24"/>
        </w:rPr>
        <w:t>Doblemente</w:t>
      </w:r>
      <w:proofErr w:type="spellEnd"/>
      <w:r w:rsidRPr="00451E72">
        <w:rPr>
          <w:rFonts w:ascii="Times New Roman" w:hAnsi="Times New Roman" w:cs="Times New Roman"/>
          <w:i/>
          <w:iCs/>
          <w:sz w:val="24"/>
          <w:szCs w:val="24"/>
        </w:rPr>
        <w:t xml:space="preserve"> </w:t>
      </w:r>
      <w:proofErr w:type="spellStart"/>
      <w:r w:rsidRPr="00451E72">
        <w:rPr>
          <w:rFonts w:ascii="Times New Roman" w:hAnsi="Times New Roman" w:cs="Times New Roman"/>
          <w:i/>
          <w:iCs/>
          <w:sz w:val="24"/>
          <w:szCs w:val="24"/>
        </w:rPr>
        <w:t>Excepcionales</w:t>
      </w:r>
      <w:proofErr w:type="spellEnd"/>
      <w:r w:rsidRPr="00451E72">
        <w:rPr>
          <w:rFonts w:ascii="Times New Roman" w:hAnsi="Times New Roman" w:cs="Times New Roman"/>
          <w:i/>
          <w:iCs/>
          <w:sz w:val="24"/>
          <w:szCs w:val="24"/>
        </w:rPr>
        <w:t xml:space="preserve"> – </w:t>
      </w:r>
      <w:proofErr w:type="spellStart"/>
      <w:r w:rsidRPr="00451E72">
        <w:rPr>
          <w:rFonts w:ascii="Times New Roman" w:hAnsi="Times New Roman" w:cs="Times New Roman"/>
          <w:i/>
          <w:iCs/>
          <w:sz w:val="24"/>
          <w:szCs w:val="24"/>
        </w:rPr>
        <w:t>versión</w:t>
      </w:r>
      <w:proofErr w:type="spellEnd"/>
      <w:r w:rsidRPr="00451E72">
        <w:rPr>
          <w:rFonts w:ascii="Times New Roman" w:hAnsi="Times New Roman" w:cs="Times New Roman"/>
          <w:i/>
          <w:iCs/>
          <w:sz w:val="24"/>
          <w:szCs w:val="24"/>
        </w:rPr>
        <w:t xml:space="preserve"> para </w:t>
      </w:r>
      <w:proofErr w:type="spellStart"/>
      <w:r w:rsidRPr="00451E72">
        <w:rPr>
          <w:rFonts w:ascii="Times New Roman" w:hAnsi="Times New Roman" w:cs="Times New Roman"/>
          <w:i/>
          <w:iCs/>
          <w:sz w:val="24"/>
          <w:szCs w:val="24"/>
        </w:rPr>
        <w:t>profesores</w:t>
      </w:r>
      <w:proofErr w:type="spellEnd"/>
      <w:r w:rsidRPr="00451E72">
        <w:rPr>
          <w:rFonts w:ascii="Times New Roman" w:hAnsi="Times New Roman" w:cs="Times New Roman"/>
          <w:sz w:val="24"/>
          <w:szCs w:val="24"/>
        </w:rPr>
        <w:t xml:space="preserve"> para o contexto brasileiro foi conduzida com rigor metodológico, respeitando a premissa central desse tipo de processo: realizar o mínimo de alterações possível, de forma a preservar a equivalência conceitual e a integridade da versão original. O instrumento resultante, intitulado Escala para Identificação do(a) Estudante Duplamente Excepcional – Altas Habilidades com Transtorno de Déficit de Atenção/Hiperatividade (EIDEAH/TDAH) – versão para professores, manteve os 39 itens organizados em quatro dimensões (acadêmica, cognitiva, emocional/comportamental e social).</w:t>
      </w:r>
    </w:p>
    <w:p w14:paraId="49935DCE"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Durante o processo de tradução, </w:t>
      </w:r>
      <w:proofErr w:type="spellStart"/>
      <w:r w:rsidRPr="00451E72">
        <w:rPr>
          <w:rFonts w:ascii="Times New Roman" w:hAnsi="Times New Roman" w:cs="Times New Roman"/>
          <w:sz w:val="24"/>
          <w:szCs w:val="24"/>
        </w:rPr>
        <w:t>retrotradução</w:t>
      </w:r>
      <w:proofErr w:type="spellEnd"/>
      <w:r w:rsidRPr="00451E72">
        <w:rPr>
          <w:rFonts w:ascii="Times New Roman" w:hAnsi="Times New Roman" w:cs="Times New Roman"/>
          <w:sz w:val="24"/>
          <w:szCs w:val="24"/>
        </w:rPr>
        <w:t xml:space="preserve">, adequação semântica, conceitual e harmonização, foram realizadas modificações criteriosas nos níveis semântico, conceitual e estilístico. No nível semântico, substituíram-se termos ambíguos por vocabulário mais amplamente utilizado no contexto educacional brasileiro, e ajustes sintáticos foram feitos para garantir maior clareza e fluidez textual, sem comprometer o conteúdo original. Correções ortográficas e gramaticais também foram realizadas conforme as normas do português brasileiro. No plano conceitual, acrescentaram-se pontualmente explicações entre colchetes para ampliar a compreensão de determinados termos por parte dos respondentes — por exemplo, o termo “autoaprendizagem” foi temporariamente complementado com “[aprende </w:t>
      </w:r>
      <w:r w:rsidRPr="00451E72">
        <w:rPr>
          <w:rFonts w:ascii="Times New Roman" w:hAnsi="Times New Roman" w:cs="Times New Roman"/>
          <w:sz w:val="24"/>
          <w:szCs w:val="24"/>
        </w:rPr>
        <w:lastRenderedPageBreak/>
        <w:t>sozinho]”. Esses acréscimos, contudo, foram removidos na versão final, mantendo-se a estrutura original para posterior verificação em estudos de campo.</w:t>
      </w:r>
    </w:p>
    <w:p w14:paraId="35827EAE"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Quanto à harmonização terminológica e estilística, promoveu-se a padronização da linguagem adotada em toda a escala, eliminando redundâncias e inconsistências, e atualizando a nomenclatura para melhor refletir o escopo do instrumento. Essa atualização resultou na designação atual da escala como EIDEAH/TDAH.</w:t>
      </w:r>
    </w:p>
    <w:p w14:paraId="6A42A0B1"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Todas as etapas foram executadas com a colaboração de especialistas de diferentes áreas, com experiência consolidada em adaptação e validação de instrumentos. O percurso metodológico adotado assegurou a adequação da escala às especificidades linguístico-culturais do contexto brasileiro, sem descaracterizar o modelo teórico que a sustenta.</w:t>
      </w:r>
    </w:p>
    <w:p w14:paraId="191B8B15"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Importa destacar que, diante das divergências nas avaliações dos juízes e da natureza subjetiva do fenômeno da Dupla Excepcionalidade, optou-se por não excluir nenhum item nesta fase. Essa decisão está alinhada com os princípios da adaptação transcultural, que conferem ao pesquisador pouca margem para modificações estruturais nas etapas iniciais, cabendo à validação empírica a verificação da compreensão dos itens pelos professores e a análise da validade interna, por meio da Análise Fatorial Confirmatória (AFC) e da consistência interna, uma vez que este estudo se restringe à etapa de adaptação transcultural do instrumento.</w:t>
      </w:r>
    </w:p>
    <w:p w14:paraId="50B363DE"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Estudos futuros deverão contemplar diferentes análises das propriedades psicométricas da versão brasileira, de modo a assegurar sua validade, fidedignidade e aplicabilidade em distintos contextos educacionais.</w:t>
      </w:r>
    </w:p>
    <w:p w14:paraId="0D0B212E" w14:textId="77777777" w:rsidR="00EF4E78" w:rsidRPr="00451E72" w:rsidRDefault="00EF4E78" w:rsidP="00EF4E78">
      <w:pPr>
        <w:spacing w:line="36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Conclui-se, assim, que o objetivo da pesquisa — a adaptação transcultural do instrumento — foi plenamente atingido. A versão brasileira da EIDEAH/TDAH encontra-se pronta para as próximas etapas metodológicas de validação, representando um avanço significativo na identificação de estudantes com Dupla Excepcionalidade — Superdotação e TDAH, no Brasil. Ao adaptar um instrumento, promove-se sensibilidade cultural e respeito à diversidade, evitando a exclusão de grupos cujas culturas diferem daquelas em que os instrumentos originais foram desenvolvidos; uma postura que reafirma o compromisso da pesquisa educacional com a equidade.</w:t>
      </w:r>
    </w:p>
    <w:p w14:paraId="7F0499E7" w14:textId="77777777" w:rsidR="00EF4E78" w:rsidRPr="00451E72" w:rsidRDefault="00EF4E78" w:rsidP="00EF4E78">
      <w:pPr>
        <w:ind w:left="0" w:hanging="2"/>
        <w:jc w:val="both"/>
        <w:rPr>
          <w:rFonts w:ascii="Times New Roman" w:eastAsia="Times New Roman" w:hAnsi="Times New Roman" w:cs="Times New Roman"/>
          <w:b/>
          <w:sz w:val="24"/>
          <w:szCs w:val="24"/>
        </w:rPr>
      </w:pPr>
      <w:r w:rsidRPr="00451E72">
        <w:rPr>
          <w:rFonts w:ascii="Times New Roman" w:eastAsia="Times New Roman" w:hAnsi="Times New Roman" w:cs="Times New Roman"/>
          <w:b/>
          <w:sz w:val="24"/>
          <w:szCs w:val="24"/>
        </w:rPr>
        <w:t xml:space="preserve">Referências bibliográficas </w:t>
      </w:r>
    </w:p>
    <w:p w14:paraId="6E913BF6" w14:textId="77777777" w:rsidR="00EF4E78" w:rsidRPr="00451E72" w:rsidRDefault="00EF4E78" w:rsidP="00EF4E78">
      <w:pPr>
        <w:pStyle w:val="Pr-formataoHTML"/>
        <w:shd w:val="clear" w:color="auto" w:fill="FFFFFF"/>
        <w:spacing w:after="240"/>
        <w:ind w:hanging="2"/>
        <w:jc w:val="both"/>
        <w:rPr>
          <w:rFonts w:ascii="Times New Roman" w:eastAsia="Calibri" w:hAnsi="Times New Roman" w:cs="Times New Roman"/>
          <w:sz w:val="24"/>
          <w:szCs w:val="24"/>
          <w:lang w:eastAsia="en-US"/>
        </w:rPr>
      </w:pPr>
      <w:r w:rsidRPr="00CC6FA6">
        <w:rPr>
          <w:rFonts w:ascii="Times New Roman" w:eastAsia="Calibri" w:hAnsi="Times New Roman" w:cs="Times New Roman"/>
          <w:sz w:val="24"/>
          <w:szCs w:val="24"/>
          <w:lang w:eastAsia="en-US"/>
        </w:rPr>
        <w:t>[RETIRADO PARA AVALIAÇÃO,</w:t>
      </w:r>
      <w:r>
        <w:rPr>
          <w:rFonts w:ascii="Times New Roman" w:eastAsia="Calibri" w:hAnsi="Times New Roman" w:cs="Times New Roman"/>
          <w:sz w:val="24"/>
          <w:szCs w:val="24"/>
          <w:lang w:eastAsia="en-US"/>
        </w:rPr>
        <w:t xml:space="preserve"> </w:t>
      </w:r>
      <w:r w:rsidRPr="00CC6FA6">
        <w:rPr>
          <w:rFonts w:ascii="Times New Roman" w:eastAsia="Calibri" w:hAnsi="Times New Roman" w:cs="Times New Roman"/>
          <w:sz w:val="24"/>
          <w:szCs w:val="24"/>
          <w:lang w:eastAsia="en-US"/>
        </w:rPr>
        <w:t xml:space="preserve">2025] </w:t>
      </w:r>
    </w:p>
    <w:p w14:paraId="54B62EBF" w14:textId="77777777" w:rsidR="00EF4E78" w:rsidRPr="00451E72" w:rsidRDefault="00EF4E78" w:rsidP="00EF4E78">
      <w:pPr>
        <w:pStyle w:val="Pr-formataoHTML"/>
        <w:shd w:val="clear" w:color="auto" w:fill="FFFFFF"/>
        <w:spacing w:after="240"/>
        <w:ind w:hanging="2"/>
        <w:jc w:val="both"/>
        <w:rPr>
          <w:rFonts w:ascii="Times New Roman" w:eastAsia="Calibri" w:hAnsi="Times New Roman" w:cs="Times New Roman"/>
          <w:sz w:val="24"/>
          <w:szCs w:val="24"/>
          <w:lang w:val="en-US" w:eastAsia="en-US"/>
        </w:rPr>
      </w:pPr>
      <w:r w:rsidRPr="00C820AA">
        <w:rPr>
          <w:rFonts w:ascii="Times New Roman" w:eastAsia="Calibri" w:hAnsi="Times New Roman" w:cs="Times New Roman"/>
          <w:sz w:val="24"/>
          <w:szCs w:val="24"/>
          <w:lang w:val="es-419" w:eastAsia="en-US"/>
        </w:rPr>
        <w:t xml:space="preserve">BARRIOS, M.; FRÍAS, M. Factores que influyen en el desarrollo y rendimiento escolar de los jóvenes de bachillerato. </w:t>
      </w:r>
      <w:r w:rsidRPr="00451E72">
        <w:rPr>
          <w:rFonts w:ascii="Times New Roman" w:eastAsia="Calibri" w:hAnsi="Times New Roman" w:cs="Times New Roman"/>
          <w:b/>
          <w:bCs/>
          <w:sz w:val="24"/>
          <w:szCs w:val="24"/>
          <w:lang w:eastAsia="en-US"/>
        </w:rPr>
        <w:t xml:space="preserve">Revista Colombiana de </w:t>
      </w:r>
      <w:proofErr w:type="spellStart"/>
      <w:r w:rsidRPr="00451E72">
        <w:rPr>
          <w:rFonts w:ascii="Times New Roman" w:eastAsia="Calibri" w:hAnsi="Times New Roman" w:cs="Times New Roman"/>
          <w:b/>
          <w:bCs/>
          <w:sz w:val="24"/>
          <w:szCs w:val="24"/>
          <w:lang w:eastAsia="en-US"/>
        </w:rPr>
        <w:t>Psicología</w:t>
      </w:r>
      <w:proofErr w:type="spellEnd"/>
      <w:r w:rsidRPr="00451E72">
        <w:rPr>
          <w:rFonts w:ascii="Times New Roman" w:eastAsia="Calibri" w:hAnsi="Times New Roman" w:cs="Times New Roman"/>
          <w:b/>
          <w:bCs/>
          <w:sz w:val="24"/>
          <w:szCs w:val="24"/>
          <w:lang w:eastAsia="en-US"/>
        </w:rPr>
        <w:t>,</w:t>
      </w:r>
      <w:r w:rsidRPr="00451E72">
        <w:rPr>
          <w:rFonts w:ascii="Times New Roman" w:eastAsia="Calibri" w:hAnsi="Times New Roman" w:cs="Times New Roman"/>
          <w:sz w:val="24"/>
          <w:szCs w:val="24"/>
          <w:lang w:eastAsia="en-US"/>
        </w:rPr>
        <w:t xml:space="preserve"> v. 25, n.1, p. 63-82. 2016. Disponível em: </w:t>
      </w:r>
      <w:hyperlink r:id="rId9" w:history="1">
        <w:r w:rsidRPr="00451E72">
          <w:rPr>
            <w:rFonts w:ascii="Times New Roman" w:eastAsia="Calibri" w:hAnsi="Times New Roman" w:cs="Times New Roman"/>
            <w:sz w:val="24"/>
            <w:szCs w:val="24"/>
            <w:lang w:eastAsia="en-US"/>
          </w:rPr>
          <w:t>https://psycnet.apa.org/record/2016-15054-004</w:t>
        </w:r>
      </w:hyperlink>
      <w:r w:rsidRPr="00451E72">
        <w:rPr>
          <w:rFonts w:ascii="Times New Roman" w:eastAsia="Calibri" w:hAnsi="Times New Roman" w:cs="Times New Roman"/>
          <w:sz w:val="24"/>
          <w:szCs w:val="24"/>
          <w:lang w:eastAsia="en-US"/>
        </w:rPr>
        <w:t xml:space="preserve">. </w:t>
      </w:r>
      <w:proofErr w:type="spellStart"/>
      <w:r w:rsidRPr="00451E72">
        <w:rPr>
          <w:rFonts w:ascii="Times New Roman" w:eastAsia="Calibri" w:hAnsi="Times New Roman" w:cs="Times New Roman"/>
          <w:sz w:val="24"/>
          <w:szCs w:val="24"/>
          <w:lang w:val="en-US" w:eastAsia="en-US"/>
        </w:rPr>
        <w:t>Acesso</w:t>
      </w:r>
      <w:proofErr w:type="spellEnd"/>
      <w:r w:rsidRPr="00451E72">
        <w:rPr>
          <w:rFonts w:ascii="Times New Roman" w:eastAsia="Calibri" w:hAnsi="Times New Roman" w:cs="Times New Roman"/>
          <w:sz w:val="24"/>
          <w:szCs w:val="24"/>
          <w:lang w:val="en-US" w:eastAsia="en-US"/>
        </w:rPr>
        <w:t xml:space="preserve"> </w:t>
      </w:r>
      <w:proofErr w:type="spellStart"/>
      <w:r w:rsidRPr="00451E72">
        <w:rPr>
          <w:rFonts w:ascii="Times New Roman" w:eastAsia="Calibri" w:hAnsi="Times New Roman" w:cs="Times New Roman"/>
          <w:sz w:val="24"/>
          <w:szCs w:val="24"/>
          <w:lang w:val="en-US" w:eastAsia="en-US"/>
        </w:rPr>
        <w:t>em</w:t>
      </w:r>
      <w:proofErr w:type="spellEnd"/>
      <w:r w:rsidRPr="00451E72">
        <w:rPr>
          <w:rFonts w:ascii="Times New Roman" w:eastAsia="Calibri" w:hAnsi="Times New Roman" w:cs="Times New Roman"/>
          <w:sz w:val="24"/>
          <w:szCs w:val="24"/>
          <w:lang w:val="en-US" w:eastAsia="en-US"/>
        </w:rPr>
        <w:t>: 10 abr. 2024.</w:t>
      </w:r>
    </w:p>
    <w:p w14:paraId="6C2C4241" w14:textId="77777777" w:rsidR="00EF4E78" w:rsidRPr="00451E72" w:rsidRDefault="00EF4E78" w:rsidP="00EF4E78">
      <w:pPr>
        <w:pStyle w:val="Pr-formataoHTML"/>
        <w:shd w:val="clear" w:color="auto" w:fill="FFFFFF"/>
        <w:spacing w:after="240"/>
        <w:ind w:hanging="2"/>
        <w:jc w:val="both"/>
        <w:rPr>
          <w:rFonts w:ascii="Times New Roman" w:eastAsia="Calibri" w:hAnsi="Times New Roman" w:cs="Times New Roman"/>
          <w:sz w:val="24"/>
          <w:szCs w:val="24"/>
          <w:lang w:eastAsia="en-US"/>
        </w:rPr>
      </w:pPr>
      <w:r w:rsidRPr="00451E72">
        <w:rPr>
          <w:rFonts w:ascii="Times New Roman" w:eastAsia="Calibri" w:hAnsi="Times New Roman" w:cs="Times New Roman"/>
          <w:sz w:val="24"/>
          <w:szCs w:val="24"/>
          <w:lang w:val="en-US" w:eastAsia="en-US"/>
        </w:rPr>
        <w:lastRenderedPageBreak/>
        <w:t xml:space="preserve">BEATON, D. E. </w:t>
      </w:r>
      <w:r w:rsidRPr="00451E72">
        <w:rPr>
          <w:rFonts w:ascii="Times New Roman" w:eastAsia="Calibri" w:hAnsi="Times New Roman" w:cs="Times New Roman"/>
          <w:i/>
          <w:iCs/>
          <w:sz w:val="24"/>
          <w:szCs w:val="24"/>
          <w:lang w:val="en-US" w:eastAsia="en-US"/>
        </w:rPr>
        <w:t>et al.</w:t>
      </w:r>
      <w:r w:rsidRPr="00451E72">
        <w:rPr>
          <w:rFonts w:ascii="Times New Roman" w:eastAsia="Calibri" w:hAnsi="Times New Roman" w:cs="Times New Roman"/>
          <w:sz w:val="24"/>
          <w:szCs w:val="24"/>
          <w:lang w:val="en-US" w:eastAsia="en-US"/>
        </w:rPr>
        <w:t xml:space="preserve"> Guidelines for the Process of Cross-Cultural Adaptation of Self-Report Measures. </w:t>
      </w:r>
      <w:r w:rsidRPr="00451E72">
        <w:rPr>
          <w:rFonts w:ascii="Times New Roman" w:eastAsia="Calibri" w:hAnsi="Times New Roman" w:cs="Times New Roman"/>
          <w:b/>
          <w:bCs/>
          <w:sz w:val="24"/>
          <w:szCs w:val="24"/>
          <w:lang w:val="en-US" w:eastAsia="en-US"/>
        </w:rPr>
        <w:t>SPINE</w:t>
      </w:r>
      <w:r w:rsidRPr="00451E72">
        <w:rPr>
          <w:rFonts w:ascii="Times New Roman" w:eastAsia="Calibri" w:hAnsi="Times New Roman" w:cs="Times New Roman"/>
          <w:sz w:val="24"/>
          <w:szCs w:val="24"/>
          <w:lang w:val="en-US" w:eastAsia="en-US"/>
        </w:rPr>
        <w:t xml:space="preserve">, v. 25, n. 24, p. 3186-3191. 2000. </w:t>
      </w:r>
      <w:r w:rsidRPr="00451E72">
        <w:rPr>
          <w:rFonts w:ascii="Times New Roman" w:eastAsia="Calibri" w:hAnsi="Times New Roman" w:cs="Times New Roman"/>
          <w:sz w:val="24"/>
          <w:szCs w:val="24"/>
          <w:lang w:eastAsia="en-US"/>
        </w:rPr>
        <w:t xml:space="preserve">Disponível em: </w:t>
      </w:r>
      <w:hyperlink r:id="rId10" w:history="1">
        <w:r w:rsidRPr="00451E72">
          <w:rPr>
            <w:rFonts w:ascii="Times New Roman" w:eastAsia="Calibri" w:hAnsi="Times New Roman" w:cs="Times New Roman"/>
            <w:sz w:val="24"/>
            <w:szCs w:val="24"/>
            <w:lang w:eastAsia="en-US"/>
          </w:rPr>
          <w:t>https://pubmed.ncbi.nlm.nih.gov/11124735/</w:t>
        </w:r>
      </w:hyperlink>
      <w:r w:rsidRPr="00451E72">
        <w:rPr>
          <w:rFonts w:ascii="Times New Roman" w:eastAsia="Calibri" w:hAnsi="Times New Roman" w:cs="Times New Roman"/>
          <w:sz w:val="24"/>
          <w:szCs w:val="24"/>
          <w:lang w:eastAsia="en-US"/>
        </w:rPr>
        <w:t>. Acesso em: 2 maio 2024.</w:t>
      </w:r>
    </w:p>
    <w:p w14:paraId="78F6B4E4" w14:textId="77777777" w:rsidR="00EF4E78" w:rsidRPr="00451E72" w:rsidRDefault="00EF4E78" w:rsidP="00EF4E78">
      <w:pPr>
        <w:pStyle w:val="Pr-formataoHTML"/>
        <w:shd w:val="clear" w:color="auto" w:fill="FFFFFF"/>
        <w:spacing w:after="240"/>
        <w:ind w:hanging="2"/>
        <w:jc w:val="both"/>
        <w:rPr>
          <w:rFonts w:ascii="Times New Roman" w:eastAsia="Calibri" w:hAnsi="Times New Roman" w:cs="Times New Roman"/>
          <w:sz w:val="24"/>
          <w:szCs w:val="24"/>
          <w:lang w:eastAsia="en-US"/>
        </w:rPr>
      </w:pPr>
      <w:r w:rsidRPr="00451E72">
        <w:rPr>
          <w:rFonts w:ascii="Times New Roman" w:eastAsia="Calibri" w:hAnsi="Times New Roman" w:cs="Times New Roman"/>
          <w:sz w:val="24"/>
          <w:szCs w:val="24"/>
          <w:lang w:val="en-US" w:eastAsia="en-US"/>
        </w:rPr>
        <w:t xml:space="preserve">BERNINGER, V. W.; ABBOTT, R. D. Differences between children with dyslexia who are and are not gifted in verbal reasoning. </w:t>
      </w:r>
      <w:proofErr w:type="spellStart"/>
      <w:r w:rsidRPr="00451E72">
        <w:rPr>
          <w:rFonts w:ascii="Times New Roman" w:eastAsia="Calibri" w:hAnsi="Times New Roman" w:cs="Times New Roman"/>
          <w:b/>
          <w:bCs/>
          <w:sz w:val="24"/>
          <w:szCs w:val="24"/>
          <w:lang w:eastAsia="en-US"/>
        </w:rPr>
        <w:t>Gifted</w:t>
      </w:r>
      <w:proofErr w:type="spellEnd"/>
      <w:r w:rsidRPr="00451E72">
        <w:rPr>
          <w:rFonts w:ascii="Times New Roman" w:eastAsia="Calibri" w:hAnsi="Times New Roman" w:cs="Times New Roman"/>
          <w:i/>
          <w:iCs/>
          <w:sz w:val="24"/>
          <w:szCs w:val="24"/>
          <w:lang w:eastAsia="en-US"/>
        </w:rPr>
        <w:t xml:space="preserve"> </w:t>
      </w:r>
      <w:proofErr w:type="spellStart"/>
      <w:r w:rsidRPr="00451E72">
        <w:rPr>
          <w:rFonts w:ascii="Times New Roman" w:eastAsia="Calibri" w:hAnsi="Times New Roman" w:cs="Times New Roman"/>
          <w:b/>
          <w:bCs/>
          <w:sz w:val="24"/>
          <w:szCs w:val="24"/>
          <w:lang w:eastAsia="en-US"/>
        </w:rPr>
        <w:t>Child</w:t>
      </w:r>
      <w:proofErr w:type="spellEnd"/>
      <w:r w:rsidRPr="00451E72">
        <w:rPr>
          <w:rFonts w:ascii="Times New Roman" w:eastAsia="Calibri" w:hAnsi="Times New Roman" w:cs="Times New Roman"/>
          <w:i/>
          <w:iCs/>
          <w:sz w:val="24"/>
          <w:szCs w:val="24"/>
          <w:lang w:eastAsia="en-US"/>
        </w:rPr>
        <w:t xml:space="preserve"> </w:t>
      </w:r>
      <w:proofErr w:type="spellStart"/>
      <w:r w:rsidRPr="00451E72">
        <w:rPr>
          <w:rFonts w:ascii="Times New Roman" w:eastAsia="Calibri" w:hAnsi="Times New Roman" w:cs="Times New Roman"/>
          <w:b/>
          <w:bCs/>
          <w:sz w:val="24"/>
          <w:szCs w:val="24"/>
          <w:lang w:eastAsia="en-US"/>
        </w:rPr>
        <w:t>Quarterly</w:t>
      </w:r>
      <w:proofErr w:type="spellEnd"/>
      <w:r w:rsidRPr="00451E72">
        <w:rPr>
          <w:rFonts w:ascii="Times New Roman" w:eastAsia="Calibri" w:hAnsi="Times New Roman" w:cs="Times New Roman"/>
          <w:sz w:val="24"/>
          <w:szCs w:val="24"/>
          <w:lang w:eastAsia="en-US"/>
        </w:rPr>
        <w:t xml:space="preserve">, v. 57, n. 4, p. 223- 233. 2013. Disponível em: </w:t>
      </w:r>
      <w:hyperlink r:id="rId11" w:history="1">
        <w:r w:rsidRPr="00451E72">
          <w:rPr>
            <w:rFonts w:ascii="Times New Roman" w:eastAsia="Calibri" w:hAnsi="Times New Roman" w:cs="Times New Roman"/>
            <w:sz w:val="24"/>
            <w:szCs w:val="24"/>
            <w:lang w:eastAsia="en-US"/>
          </w:rPr>
          <w:t>https://www.ncbi.nlm.nih.gov/pmc/articles/PMC3829472/</w:t>
        </w:r>
      </w:hyperlink>
      <w:r w:rsidRPr="00451E72">
        <w:rPr>
          <w:rFonts w:ascii="Times New Roman" w:eastAsia="Calibri" w:hAnsi="Times New Roman" w:cs="Times New Roman"/>
          <w:sz w:val="24"/>
          <w:szCs w:val="24"/>
          <w:lang w:eastAsia="en-US"/>
        </w:rPr>
        <w:t>. Acesso em: 5 jan. 2024.</w:t>
      </w:r>
    </w:p>
    <w:p w14:paraId="2B8683A5" w14:textId="77777777" w:rsidR="00EF4E78" w:rsidRPr="00C820AA" w:rsidRDefault="00EF4E78" w:rsidP="00EF4E78">
      <w:pPr>
        <w:pStyle w:val="Pr-formataoHTML"/>
        <w:shd w:val="clear" w:color="auto" w:fill="FFFFFF"/>
        <w:spacing w:after="240"/>
        <w:ind w:hanging="2"/>
        <w:jc w:val="both"/>
        <w:rPr>
          <w:rFonts w:ascii="Times New Roman" w:eastAsia="Calibri" w:hAnsi="Times New Roman" w:cs="Times New Roman"/>
          <w:sz w:val="24"/>
          <w:szCs w:val="24"/>
          <w:lang w:val="es-419" w:eastAsia="en-US"/>
        </w:rPr>
      </w:pPr>
      <w:r w:rsidRPr="00451E72">
        <w:rPr>
          <w:rFonts w:ascii="Times New Roman" w:eastAsia="Calibri" w:hAnsi="Times New Roman" w:cs="Times New Roman"/>
          <w:sz w:val="24"/>
          <w:szCs w:val="24"/>
          <w:lang w:eastAsia="en-US"/>
        </w:rPr>
        <w:t xml:space="preserve">BISQUERRA, R.; PÉREZ, N. </w:t>
      </w:r>
      <w:proofErr w:type="spellStart"/>
      <w:r w:rsidRPr="00451E72">
        <w:rPr>
          <w:rFonts w:ascii="Times New Roman" w:eastAsia="Calibri" w:hAnsi="Times New Roman" w:cs="Times New Roman"/>
          <w:sz w:val="24"/>
          <w:szCs w:val="24"/>
          <w:lang w:eastAsia="en-US"/>
        </w:rPr>
        <w:t>Las</w:t>
      </w:r>
      <w:proofErr w:type="spellEnd"/>
      <w:r w:rsidRPr="00451E72">
        <w:rPr>
          <w:rFonts w:ascii="Times New Roman" w:eastAsia="Calibri" w:hAnsi="Times New Roman" w:cs="Times New Roman"/>
          <w:sz w:val="24"/>
          <w:szCs w:val="24"/>
          <w:lang w:eastAsia="en-US"/>
        </w:rPr>
        <w:t xml:space="preserve"> </w:t>
      </w:r>
      <w:proofErr w:type="spellStart"/>
      <w:r w:rsidRPr="00451E72">
        <w:rPr>
          <w:rFonts w:ascii="Times New Roman" w:eastAsia="Calibri" w:hAnsi="Times New Roman" w:cs="Times New Roman"/>
          <w:sz w:val="24"/>
          <w:szCs w:val="24"/>
          <w:lang w:eastAsia="en-US"/>
        </w:rPr>
        <w:t>competencias</w:t>
      </w:r>
      <w:proofErr w:type="spellEnd"/>
      <w:r w:rsidRPr="00451E72">
        <w:rPr>
          <w:rFonts w:ascii="Times New Roman" w:eastAsia="Calibri" w:hAnsi="Times New Roman" w:cs="Times New Roman"/>
          <w:sz w:val="24"/>
          <w:szCs w:val="24"/>
          <w:lang w:eastAsia="en-US"/>
        </w:rPr>
        <w:t xml:space="preserve"> </w:t>
      </w:r>
      <w:proofErr w:type="spellStart"/>
      <w:r w:rsidRPr="00451E72">
        <w:rPr>
          <w:rFonts w:ascii="Times New Roman" w:eastAsia="Calibri" w:hAnsi="Times New Roman" w:cs="Times New Roman"/>
          <w:sz w:val="24"/>
          <w:szCs w:val="24"/>
          <w:lang w:eastAsia="en-US"/>
        </w:rPr>
        <w:t>emocionales</w:t>
      </w:r>
      <w:proofErr w:type="spellEnd"/>
      <w:r w:rsidRPr="00451E72">
        <w:rPr>
          <w:rFonts w:ascii="Times New Roman" w:eastAsia="Calibri" w:hAnsi="Times New Roman" w:cs="Times New Roman"/>
          <w:sz w:val="24"/>
          <w:szCs w:val="24"/>
          <w:lang w:eastAsia="en-US"/>
        </w:rPr>
        <w:t xml:space="preserve">. </w:t>
      </w:r>
      <w:proofErr w:type="spellStart"/>
      <w:r w:rsidRPr="00451E72">
        <w:rPr>
          <w:rFonts w:ascii="Times New Roman" w:eastAsia="Calibri" w:hAnsi="Times New Roman" w:cs="Times New Roman"/>
          <w:b/>
          <w:bCs/>
          <w:sz w:val="24"/>
          <w:szCs w:val="24"/>
          <w:lang w:eastAsia="en-US"/>
        </w:rPr>
        <w:t>Educación</w:t>
      </w:r>
      <w:proofErr w:type="spellEnd"/>
      <w:r w:rsidRPr="00451E72">
        <w:rPr>
          <w:rFonts w:ascii="Times New Roman" w:eastAsia="Calibri" w:hAnsi="Times New Roman" w:cs="Times New Roman"/>
          <w:i/>
          <w:iCs/>
          <w:sz w:val="24"/>
          <w:szCs w:val="24"/>
          <w:lang w:eastAsia="en-US"/>
        </w:rPr>
        <w:t xml:space="preserve"> </w:t>
      </w:r>
      <w:r w:rsidRPr="00451E72">
        <w:rPr>
          <w:rFonts w:ascii="Times New Roman" w:eastAsia="Calibri" w:hAnsi="Times New Roman" w:cs="Times New Roman"/>
          <w:b/>
          <w:bCs/>
          <w:sz w:val="24"/>
          <w:szCs w:val="24"/>
          <w:lang w:eastAsia="en-US"/>
        </w:rPr>
        <w:t>XXI</w:t>
      </w:r>
      <w:r w:rsidRPr="00451E72">
        <w:rPr>
          <w:rFonts w:ascii="Times New Roman" w:eastAsia="Calibri" w:hAnsi="Times New Roman" w:cs="Times New Roman"/>
          <w:i/>
          <w:iCs/>
          <w:sz w:val="24"/>
          <w:szCs w:val="24"/>
          <w:lang w:eastAsia="en-US"/>
        </w:rPr>
        <w:t>,</w:t>
      </w:r>
      <w:r w:rsidRPr="00451E72">
        <w:rPr>
          <w:rFonts w:ascii="Times New Roman" w:eastAsia="Calibri" w:hAnsi="Times New Roman" w:cs="Times New Roman"/>
          <w:sz w:val="24"/>
          <w:szCs w:val="24"/>
          <w:lang w:eastAsia="en-US"/>
        </w:rPr>
        <w:t xml:space="preserve"> v. 10, p. 61-82. 2007. Disponível em: </w:t>
      </w:r>
      <w:hyperlink r:id="rId12" w:history="1">
        <w:r w:rsidRPr="00451E72">
          <w:rPr>
            <w:rFonts w:ascii="Times New Roman" w:eastAsia="Calibri" w:hAnsi="Times New Roman" w:cs="Times New Roman"/>
            <w:sz w:val="24"/>
            <w:szCs w:val="24"/>
            <w:lang w:eastAsia="en-US"/>
          </w:rPr>
          <w:t>https://bienestaryproteccioninfantil.es/las-competencias-emocionales-emotional-competencies/</w:t>
        </w:r>
      </w:hyperlink>
      <w:r w:rsidRPr="00451E72">
        <w:rPr>
          <w:rFonts w:ascii="Times New Roman" w:eastAsia="Calibri" w:hAnsi="Times New Roman" w:cs="Times New Roman"/>
          <w:sz w:val="24"/>
          <w:szCs w:val="24"/>
          <w:lang w:eastAsia="en-US"/>
        </w:rPr>
        <w:t xml:space="preserve">. </w:t>
      </w:r>
      <w:proofErr w:type="spellStart"/>
      <w:r w:rsidRPr="00C820AA">
        <w:rPr>
          <w:rFonts w:ascii="Times New Roman" w:eastAsia="Calibri" w:hAnsi="Times New Roman" w:cs="Times New Roman"/>
          <w:sz w:val="24"/>
          <w:szCs w:val="24"/>
          <w:lang w:val="es-419" w:eastAsia="en-US"/>
        </w:rPr>
        <w:t>Acesso</w:t>
      </w:r>
      <w:proofErr w:type="spellEnd"/>
      <w:r w:rsidRPr="00C820AA">
        <w:rPr>
          <w:rFonts w:ascii="Times New Roman" w:eastAsia="Calibri" w:hAnsi="Times New Roman" w:cs="Times New Roman"/>
          <w:sz w:val="24"/>
          <w:szCs w:val="24"/>
          <w:lang w:val="es-419" w:eastAsia="en-US"/>
        </w:rPr>
        <w:t xml:space="preserve"> em: 18 abr. 2024.</w:t>
      </w:r>
    </w:p>
    <w:p w14:paraId="62750B4F" w14:textId="77777777" w:rsidR="00EF4E78" w:rsidRPr="00451E72" w:rsidRDefault="00EF4E78" w:rsidP="00EF4E78">
      <w:pPr>
        <w:pStyle w:val="Pr-formataoHTML"/>
        <w:shd w:val="clear" w:color="auto" w:fill="FFFFFF"/>
        <w:spacing w:after="240"/>
        <w:ind w:hanging="2"/>
        <w:jc w:val="both"/>
        <w:rPr>
          <w:rFonts w:ascii="Times New Roman" w:eastAsia="Calibri" w:hAnsi="Times New Roman" w:cs="Times New Roman"/>
          <w:sz w:val="24"/>
          <w:szCs w:val="24"/>
          <w:lang w:eastAsia="en-US"/>
        </w:rPr>
      </w:pPr>
      <w:r w:rsidRPr="00C820AA">
        <w:rPr>
          <w:rFonts w:ascii="Times New Roman" w:eastAsia="Calibri" w:hAnsi="Times New Roman" w:cs="Times New Roman"/>
          <w:sz w:val="24"/>
          <w:szCs w:val="24"/>
          <w:lang w:val="es-419" w:eastAsia="en-US"/>
        </w:rPr>
        <w:t xml:space="preserve">BLANCO, M. C. Guía para la identificación y seguimiento de alumnos superdotados. </w:t>
      </w:r>
      <w:proofErr w:type="spellStart"/>
      <w:r w:rsidRPr="00451E72">
        <w:rPr>
          <w:rFonts w:ascii="Times New Roman" w:eastAsia="Calibri" w:hAnsi="Times New Roman" w:cs="Times New Roman"/>
          <w:b/>
          <w:bCs/>
          <w:sz w:val="24"/>
          <w:szCs w:val="24"/>
          <w:lang w:eastAsia="en-US"/>
        </w:rPr>
        <w:t>Educación</w:t>
      </w:r>
      <w:proofErr w:type="spellEnd"/>
      <w:r w:rsidRPr="00451E72">
        <w:rPr>
          <w:rFonts w:ascii="Times New Roman" w:eastAsia="Calibri" w:hAnsi="Times New Roman" w:cs="Times New Roman"/>
          <w:b/>
          <w:bCs/>
          <w:sz w:val="24"/>
          <w:szCs w:val="24"/>
          <w:lang w:eastAsia="en-US"/>
        </w:rPr>
        <w:t xml:space="preserve"> primaria.</w:t>
      </w:r>
      <w:r w:rsidRPr="00451E72">
        <w:rPr>
          <w:rFonts w:ascii="Times New Roman" w:eastAsia="Calibri" w:hAnsi="Times New Roman" w:cs="Times New Roman"/>
          <w:sz w:val="24"/>
          <w:szCs w:val="24"/>
          <w:lang w:eastAsia="en-US"/>
        </w:rPr>
        <w:t xml:space="preserve"> Madrid: </w:t>
      </w:r>
      <w:proofErr w:type="spellStart"/>
      <w:r w:rsidRPr="00451E72">
        <w:rPr>
          <w:rFonts w:ascii="Times New Roman" w:eastAsia="Calibri" w:hAnsi="Times New Roman" w:cs="Times New Roman"/>
          <w:sz w:val="24"/>
          <w:szCs w:val="24"/>
          <w:lang w:eastAsia="en-US"/>
        </w:rPr>
        <w:t>Cisspraxis</w:t>
      </w:r>
      <w:proofErr w:type="spellEnd"/>
      <w:r w:rsidRPr="00451E72">
        <w:rPr>
          <w:rFonts w:ascii="Times New Roman" w:eastAsia="Calibri" w:hAnsi="Times New Roman" w:cs="Times New Roman"/>
          <w:sz w:val="24"/>
          <w:szCs w:val="24"/>
          <w:lang w:eastAsia="en-US"/>
        </w:rPr>
        <w:t xml:space="preserve">. 2001. </w:t>
      </w:r>
    </w:p>
    <w:p w14:paraId="3F3FC2A5" w14:textId="77777777" w:rsidR="00EF4E78" w:rsidRPr="00451E72" w:rsidRDefault="00EF4E78" w:rsidP="00EF4E78">
      <w:pPr>
        <w:pBdr>
          <w:top w:val="nil"/>
          <w:left w:val="nil"/>
          <w:bottom w:val="nil"/>
          <w:right w:val="nil"/>
          <w:between w:val="nil"/>
        </w:pBdr>
        <w:tabs>
          <w:tab w:val="left" w:pos="9000"/>
          <w:tab w:val="left" w:pos="9240"/>
        </w:tabs>
        <w:spacing w:before="60" w:after="240" w:line="24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BORSA, J. C.; DAMÁSIO, B. F.; BANDEIRA, D. R. Adaptação e Validação de Instrumentos Psicológicos entre Culturas: Algumas Considerações. </w:t>
      </w:r>
      <w:r w:rsidRPr="00451E72">
        <w:rPr>
          <w:rFonts w:ascii="Times New Roman" w:hAnsi="Times New Roman" w:cs="Times New Roman"/>
          <w:b/>
          <w:bCs/>
          <w:sz w:val="24"/>
          <w:szCs w:val="24"/>
        </w:rPr>
        <w:t>Paidéia</w:t>
      </w:r>
      <w:r w:rsidRPr="00451E72">
        <w:rPr>
          <w:rFonts w:ascii="Times New Roman" w:hAnsi="Times New Roman" w:cs="Times New Roman"/>
          <w:sz w:val="24"/>
          <w:szCs w:val="24"/>
        </w:rPr>
        <w:t>, v. 22, n. 53, 2012, p. 423-32. Disponível em:</w:t>
      </w:r>
      <w:hyperlink r:id="rId13">
        <w:r w:rsidRPr="00451E72">
          <w:rPr>
            <w:rFonts w:ascii="Times New Roman" w:hAnsi="Times New Roman" w:cs="Times New Roman"/>
            <w:sz w:val="24"/>
            <w:szCs w:val="24"/>
          </w:rPr>
          <w:t xml:space="preserve"> </w:t>
        </w:r>
      </w:hyperlink>
      <w:r w:rsidRPr="00451E72">
        <w:rPr>
          <w:rFonts w:ascii="Times New Roman" w:hAnsi="Times New Roman" w:cs="Times New Roman"/>
          <w:sz w:val="24"/>
          <w:szCs w:val="24"/>
        </w:rPr>
        <w:t xml:space="preserve"> </w:t>
      </w:r>
      <w:hyperlink r:id="rId14" w:history="1">
        <w:r w:rsidRPr="00451E72">
          <w:rPr>
            <w:rFonts w:ascii="Times New Roman" w:hAnsi="Times New Roman" w:cs="Times New Roman"/>
            <w:sz w:val="24"/>
            <w:szCs w:val="24"/>
          </w:rPr>
          <w:t>https://www.scielo.br/j/paideia/a/cbRxjMqmbZddKpwywVM8mJv/?lang=pt</w:t>
        </w:r>
      </w:hyperlink>
      <w:r w:rsidRPr="00451E72">
        <w:rPr>
          <w:rFonts w:ascii="Times New Roman" w:hAnsi="Times New Roman" w:cs="Times New Roman"/>
          <w:sz w:val="24"/>
          <w:szCs w:val="24"/>
        </w:rPr>
        <w:t>. Acesso em: 4 fev. 2023.</w:t>
      </w:r>
    </w:p>
    <w:p w14:paraId="0C1B11D4" w14:textId="77777777" w:rsidR="00EF4E78" w:rsidRPr="00451E72" w:rsidRDefault="00EF4E78" w:rsidP="00EF4E78">
      <w:pPr>
        <w:spacing w:line="240" w:lineRule="auto"/>
        <w:ind w:left="0" w:hanging="2"/>
        <w:jc w:val="both"/>
        <w:rPr>
          <w:rFonts w:ascii="Times New Roman" w:hAnsi="Times New Roman" w:cs="Times New Roman"/>
          <w:sz w:val="24"/>
          <w:szCs w:val="24"/>
        </w:rPr>
      </w:pPr>
      <w:r w:rsidRPr="00765369">
        <w:rPr>
          <w:rFonts w:ascii="Times New Roman" w:hAnsi="Times New Roman" w:cs="Times New Roman"/>
          <w:sz w:val="24"/>
          <w:szCs w:val="24"/>
        </w:rPr>
        <w:t xml:space="preserve">CONEJEROS-SOLAR, M. L. C. </w:t>
      </w:r>
      <w:r w:rsidRPr="00765369">
        <w:rPr>
          <w:rFonts w:ascii="Times New Roman" w:hAnsi="Times New Roman" w:cs="Times New Roman"/>
          <w:i/>
          <w:iCs/>
          <w:sz w:val="24"/>
          <w:szCs w:val="24"/>
        </w:rPr>
        <w:t>et al.</w:t>
      </w:r>
      <w:r w:rsidRPr="00765369">
        <w:rPr>
          <w:rFonts w:ascii="Times New Roman" w:hAnsi="Times New Roman" w:cs="Times New Roman"/>
          <w:sz w:val="24"/>
          <w:szCs w:val="24"/>
        </w:rPr>
        <w:t xml:space="preserve"> </w:t>
      </w:r>
      <w:r w:rsidRPr="00C820AA">
        <w:rPr>
          <w:rFonts w:ascii="Times New Roman" w:hAnsi="Times New Roman" w:cs="Times New Roman"/>
          <w:b/>
          <w:bCs/>
          <w:sz w:val="24"/>
          <w:szCs w:val="24"/>
          <w:lang w:val="es-419"/>
        </w:rPr>
        <w:t>Doble Excepcionalidad: Manual de identificación y orientaciones psicoeducativas. Escuela de Pedagogía</w:t>
      </w:r>
      <w:r w:rsidRPr="00C820AA">
        <w:rPr>
          <w:rFonts w:ascii="Times New Roman" w:hAnsi="Times New Roman" w:cs="Times New Roman"/>
          <w:sz w:val="24"/>
          <w:szCs w:val="24"/>
          <w:lang w:val="es-419"/>
        </w:rPr>
        <w:t xml:space="preserve">. 2018. </w:t>
      </w:r>
      <w:proofErr w:type="spellStart"/>
      <w:r w:rsidRPr="00C820AA">
        <w:rPr>
          <w:rFonts w:ascii="Times New Roman" w:hAnsi="Times New Roman" w:cs="Times New Roman"/>
          <w:sz w:val="24"/>
          <w:szCs w:val="24"/>
          <w:lang w:val="es-419"/>
        </w:rPr>
        <w:t>Pontifícia</w:t>
      </w:r>
      <w:proofErr w:type="spellEnd"/>
      <w:r w:rsidRPr="00C820AA">
        <w:rPr>
          <w:rFonts w:ascii="Times New Roman" w:hAnsi="Times New Roman" w:cs="Times New Roman"/>
          <w:sz w:val="24"/>
          <w:szCs w:val="24"/>
          <w:lang w:val="es-419"/>
        </w:rPr>
        <w:t xml:space="preserve"> Universidade </w:t>
      </w:r>
      <w:proofErr w:type="gramStart"/>
      <w:r w:rsidRPr="00C820AA">
        <w:rPr>
          <w:rFonts w:ascii="Times New Roman" w:hAnsi="Times New Roman" w:cs="Times New Roman"/>
          <w:sz w:val="24"/>
          <w:szCs w:val="24"/>
          <w:lang w:val="es-419"/>
        </w:rPr>
        <w:t>Católica</w:t>
      </w:r>
      <w:proofErr w:type="gramEnd"/>
      <w:r w:rsidRPr="00C820AA">
        <w:rPr>
          <w:rFonts w:ascii="Times New Roman" w:hAnsi="Times New Roman" w:cs="Times New Roman"/>
          <w:sz w:val="24"/>
          <w:szCs w:val="24"/>
          <w:lang w:val="es-419"/>
        </w:rPr>
        <w:t xml:space="preserve"> de Valparaíso. Comisión Nacional de Investigación Científica </w:t>
      </w:r>
      <w:proofErr w:type="spellStart"/>
      <w:r w:rsidRPr="00C820AA">
        <w:rPr>
          <w:rFonts w:ascii="Times New Roman" w:hAnsi="Times New Roman" w:cs="Times New Roman"/>
          <w:sz w:val="24"/>
          <w:szCs w:val="24"/>
          <w:lang w:val="es-419"/>
        </w:rPr>
        <w:t>e</w:t>
      </w:r>
      <w:proofErr w:type="spellEnd"/>
      <w:r w:rsidRPr="00C820AA">
        <w:rPr>
          <w:rFonts w:ascii="Times New Roman" w:hAnsi="Times New Roman" w:cs="Times New Roman"/>
          <w:sz w:val="24"/>
          <w:szCs w:val="24"/>
          <w:lang w:val="es-419"/>
        </w:rPr>
        <w:t xml:space="preserve"> Tecnológica. 2018. </w:t>
      </w:r>
      <w:proofErr w:type="spellStart"/>
      <w:r w:rsidRPr="00C820AA">
        <w:rPr>
          <w:rFonts w:ascii="Times New Roman" w:hAnsi="Times New Roman" w:cs="Times New Roman"/>
          <w:sz w:val="24"/>
          <w:szCs w:val="24"/>
          <w:lang w:val="es-419"/>
        </w:rPr>
        <w:t>Disponível</w:t>
      </w:r>
      <w:proofErr w:type="spellEnd"/>
      <w:r w:rsidRPr="00C820AA">
        <w:rPr>
          <w:rFonts w:ascii="Times New Roman" w:hAnsi="Times New Roman" w:cs="Times New Roman"/>
          <w:sz w:val="24"/>
          <w:szCs w:val="24"/>
          <w:lang w:val="es-419"/>
        </w:rPr>
        <w:t xml:space="preserve"> em: </w:t>
      </w:r>
      <w:hyperlink r:id="rId15" w:history="1">
        <w:r w:rsidRPr="00C820AA">
          <w:rPr>
            <w:rFonts w:ascii="Times New Roman" w:hAnsi="Times New Roman" w:cs="Times New Roman"/>
            <w:sz w:val="24"/>
            <w:szCs w:val="24"/>
            <w:lang w:val="es-419"/>
          </w:rPr>
          <w:t>https://www.2e.cl/publicaciones/</w:t>
        </w:r>
      </w:hyperlink>
      <w:r w:rsidRPr="00C820AA">
        <w:rPr>
          <w:rFonts w:ascii="Times New Roman" w:hAnsi="Times New Roman" w:cs="Times New Roman"/>
          <w:sz w:val="24"/>
          <w:szCs w:val="24"/>
          <w:lang w:val="es-419"/>
        </w:rPr>
        <w:t xml:space="preserve">. </w:t>
      </w:r>
      <w:r w:rsidRPr="00451E72">
        <w:rPr>
          <w:rFonts w:ascii="Times New Roman" w:hAnsi="Times New Roman" w:cs="Times New Roman"/>
          <w:sz w:val="24"/>
          <w:szCs w:val="24"/>
        </w:rPr>
        <w:t>Acesso em: 18 abr. 2024.</w:t>
      </w:r>
    </w:p>
    <w:p w14:paraId="0587BC59" w14:textId="77777777" w:rsidR="00EF4E78" w:rsidRPr="00451E72" w:rsidRDefault="00EF4E78" w:rsidP="00EF4E78">
      <w:pPr>
        <w:spacing w:after="240" w:line="24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rPr>
        <w:t xml:space="preserve">CONTANDRIOPOULOS A. P. </w:t>
      </w:r>
      <w:r w:rsidRPr="00451E72">
        <w:rPr>
          <w:rFonts w:ascii="Times New Roman" w:hAnsi="Times New Roman" w:cs="Times New Roman"/>
          <w:b/>
          <w:bCs/>
          <w:sz w:val="24"/>
          <w:szCs w:val="24"/>
        </w:rPr>
        <w:t>Saber</w:t>
      </w:r>
      <w:r w:rsidRPr="00451E72">
        <w:rPr>
          <w:rFonts w:ascii="Times New Roman" w:hAnsi="Times New Roman" w:cs="Times New Roman"/>
          <w:i/>
          <w:iCs/>
          <w:sz w:val="24"/>
          <w:szCs w:val="24"/>
        </w:rPr>
        <w:t xml:space="preserve"> </w:t>
      </w:r>
      <w:r w:rsidRPr="00451E72">
        <w:rPr>
          <w:rFonts w:ascii="Times New Roman" w:hAnsi="Times New Roman" w:cs="Times New Roman"/>
          <w:b/>
          <w:bCs/>
          <w:sz w:val="24"/>
          <w:szCs w:val="24"/>
        </w:rPr>
        <w:t>preparar</w:t>
      </w:r>
      <w:r w:rsidRPr="00451E72">
        <w:rPr>
          <w:rFonts w:ascii="Times New Roman" w:hAnsi="Times New Roman" w:cs="Times New Roman"/>
          <w:i/>
          <w:iCs/>
          <w:sz w:val="24"/>
          <w:szCs w:val="24"/>
        </w:rPr>
        <w:t xml:space="preserve"> </w:t>
      </w:r>
      <w:r w:rsidRPr="00451E72">
        <w:rPr>
          <w:rFonts w:ascii="Times New Roman" w:hAnsi="Times New Roman" w:cs="Times New Roman"/>
          <w:b/>
          <w:bCs/>
          <w:sz w:val="24"/>
          <w:szCs w:val="24"/>
        </w:rPr>
        <w:t>uma</w:t>
      </w:r>
      <w:r w:rsidRPr="00451E72">
        <w:rPr>
          <w:rFonts w:ascii="Times New Roman" w:hAnsi="Times New Roman" w:cs="Times New Roman"/>
          <w:i/>
          <w:iCs/>
          <w:sz w:val="24"/>
          <w:szCs w:val="24"/>
        </w:rPr>
        <w:t xml:space="preserve"> </w:t>
      </w:r>
      <w:r w:rsidRPr="00451E72">
        <w:rPr>
          <w:rFonts w:ascii="Times New Roman" w:hAnsi="Times New Roman" w:cs="Times New Roman"/>
          <w:b/>
          <w:bCs/>
          <w:sz w:val="24"/>
          <w:szCs w:val="24"/>
        </w:rPr>
        <w:t>pesquisa</w:t>
      </w:r>
      <w:r w:rsidRPr="00451E72">
        <w:rPr>
          <w:rFonts w:ascii="Times New Roman" w:hAnsi="Times New Roman" w:cs="Times New Roman"/>
          <w:i/>
          <w:iCs/>
          <w:sz w:val="24"/>
          <w:szCs w:val="24"/>
        </w:rPr>
        <w:t>.</w:t>
      </w:r>
      <w:r w:rsidRPr="00451E72">
        <w:rPr>
          <w:rFonts w:ascii="Times New Roman" w:hAnsi="Times New Roman" w:cs="Times New Roman"/>
          <w:sz w:val="24"/>
          <w:szCs w:val="24"/>
        </w:rPr>
        <w:t xml:space="preserve"> 3ª ed. São Paulo: Hucitec, Abrasco; 1999.</w:t>
      </w:r>
    </w:p>
    <w:p w14:paraId="43515D00" w14:textId="77777777" w:rsidR="00EF4E78" w:rsidRPr="00451E72" w:rsidRDefault="00EF4E78" w:rsidP="00EF4E78">
      <w:pPr>
        <w:spacing w:after="240" w:line="240" w:lineRule="auto"/>
        <w:ind w:left="0" w:hanging="2"/>
        <w:jc w:val="both"/>
        <w:rPr>
          <w:rFonts w:ascii="Times New Roman" w:hAnsi="Times New Roman" w:cs="Times New Roman"/>
          <w:sz w:val="24"/>
          <w:szCs w:val="24"/>
          <w:lang w:val="en-US"/>
        </w:rPr>
      </w:pPr>
      <w:r w:rsidRPr="00451E72">
        <w:rPr>
          <w:rFonts w:ascii="Times New Roman" w:hAnsi="Times New Roman" w:cs="Times New Roman"/>
          <w:sz w:val="24"/>
          <w:szCs w:val="24"/>
          <w:lang w:val="en-US"/>
        </w:rPr>
        <w:t xml:space="preserve">GOLEMAN, D.; BOYATZIS, R.; MCKEE, A. </w:t>
      </w:r>
      <w:r w:rsidRPr="00451E72">
        <w:rPr>
          <w:rFonts w:ascii="Times New Roman" w:hAnsi="Times New Roman" w:cs="Times New Roman"/>
          <w:b/>
          <w:bCs/>
          <w:sz w:val="24"/>
          <w:szCs w:val="24"/>
          <w:lang w:val="en-US"/>
        </w:rPr>
        <w:t>Primal</w:t>
      </w:r>
      <w:r w:rsidRPr="00451E72">
        <w:rPr>
          <w:rFonts w:ascii="Times New Roman" w:hAnsi="Times New Roman" w:cs="Times New Roman"/>
          <w:i/>
          <w:iCs/>
          <w:sz w:val="24"/>
          <w:szCs w:val="24"/>
          <w:lang w:val="en-US"/>
        </w:rPr>
        <w:t xml:space="preserve"> </w:t>
      </w:r>
      <w:r w:rsidRPr="00451E72">
        <w:rPr>
          <w:rFonts w:ascii="Times New Roman" w:hAnsi="Times New Roman" w:cs="Times New Roman"/>
          <w:b/>
          <w:bCs/>
          <w:sz w:val="24"/>
          <w:szCs w:val="24"/>
          <w:lang w:val="en-US"/>
        </w:rPr>
        <w:t>Leadership</w:t>
      </w:r>
      <w:r w:rsidRPr="00451E72">
        <w:rPr>
          <w:rFonts w:ascii="Times New Roman" w:hAnsi="Times New Roman" w:cs="Times New Roman"/>
          <w:i/>
          <w:iCs/>
          <w:sz w:val="24"/>
          <w:szCs w:val="24"/>
          <w:lang w:val="en-US"/>
        </w:rPr>
        <w:t>:</w:t>
      </w:r>
      <w:r w:rsidRPr="00451E72">
        <w:rPr>
          <w:rFonts w:ascii="Times New Roman" w:hAnsi="Times New Roman" w:cs="Times New Roman"/>
          <w:sz w:val="24"/>
          <w:szCs w:val="24"/>
          <w:lang w:val="en-US"/>
        </w:rPr>
        <w:t xml:space="preserve"> Realizing the Power of Emotional Intelligence. Boston: Harvard Business. 2002. </w:t>
      </w:r>
    </w:p>
    <w:p w14:paraId="2369AB75" w14:textId="77777777" w:rsidR="00EF4E78" w:rsidRPr="00451E72" w:rsidRDefault="00EF4E78" w:rsidP="00EF4E78">
      <w:pPr>
        <w:spacing w:after="240" w:line="240" w:lineRule="auto"/>
        <w:ind w:left="0" w:hanging="2"/>
        <w:jc w:val="both"/>
        <w:rPr>
          <w:rFonts w:ascii="Times New Roman" w:hAnsi="Times New Roman" w:cs="Times New Roman"/>
          <w:sz w:val="24"/>
          <w:szCs w:val="24"/>
          <w:lang w:val="en-US"/>
        </w:rPr>
      </w:pPr>
      <w:r w:rsidRPr="00451E72">
        <w:rPr>
          <w:rFonts w:ascii="Times New Roman" w:hAnsi="Times New Roman" w:cs="Times New Roman"/>
          <w:sz w:val="24"/>
          <w:szCs w:val="24"/>
          <w:lang w:val="en-US"/>
        </w:rPr>
        <w:t xml:space="preserve">GRANT, J. S.; DAVIS, L. L. Selection and use of content experts for instrument development. </w:t>
      </w:r>
      <w:r w:rsidRPr="00451E72">
        <w:rPr>
          <w:rFonts w:ascii="Times New Roman" w:hAnsi="Times New Roman" w:cs="Times New Roman"/>
          <w:b/>
          <w:bCs/>
          <w:sz w:val="24"/>
          <w:szCs w:val="24"/>
          <w:lang w:val="en-US"/>
        </w:rPr>
        <w:t>Research</w:t>
      </w:r>
      <w:r w:rsidRPr="00451E72">
        <w:rPr>
          <w:rFonts w:ascii="Times New Roman" w:hAnsi="Times New Roman" w:cs="Times New Roman"/>
          <w:i/>
          <w:iCs/>
          <w:sz w:val="24"/>
          <w:szCs w:val="24"/>
          <w:lang w:val="en-US"/>
        </w:rPr>
        <w:t xml:space="preserve"> </w:t>
      </w:r>
      <w:r w:rsidRPr="00451E72">
        <w:rPr>
          <w:rFonts w:ascii="Times New Roman" w:hAnsi="Times New Roman" w:cs="Times New Roman"/>
          <w:b/>
          <w:bCs/>
          <w:sz w:val="24"/>
          <w:szCs w:val="24"/>
          <w:lang w:val="en-US"/>
        </w:rPr>
        <w:t>Nursing</w:t>
      </w:r>
      <w:r w:rsidRPr="00451E72">
        <w:rPr>
          <w:rFonts w:ascii="Times New Roman" w:hAnsi="Times New Roman" w:cs="Times New Roman"/>
          <w:i/>
          <w:iCs/>
          <w:sz w:val="24"/>
          <w:szCs w:val="24"/>
          <w:lang w:val="en-US"/>
        </w:rPr>
        <w:t xml:space="preserve"> </w:t>
      </w:r>
      <w:r w:rsidRPr="00451E72">
        <w:rPr>
          <w:rFonts w:ascii="Times New Roman" w:hAnsi="Times New Roman" w:cs="Times New Roman"/>
          <w:b/>
          <w:bCs/>
          <w:sz w:val="24"/>
          <w:szCs w:val="24"/>
          <w:lang w:val="en-US"/>
        </w:rPr>
        <w:t>Health</w:t>
      </w:r>
      <w:r w:rsidRPr="00451E72">
        <w:rPr>
          <w:rFonts w:ascii="Times New Roman" w:hAnsi="Times New Roman" w:cs="Times New Roman"/>
          <w:sz w:val="24"/>
          <w:szCs w:val="24"/>
          <w:lang w:val="en-US"/>
        </w:rPr>
        <w:t xml:space="preserve">, v. 20, n. 3, p. 269-274, 1997. </w:t>
      </w:r>
      <w:proofErr w:type="spellStart"/>
      <w:r w:rsidRPr="00451E72">
        <w:rPr>
          <w:rFonts w:ascii="Times New Roman" w:hAnsi="Times New Roman" w:cs="Times New Roman"/>
          <w:sz w:val="24"/>
          <w:szCs w:val="24"/>
          <w:lang w:val="en-US"/>
        </w:rPr>
        <w:t>Disponível</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w:t>
      </w:r>
      <w:hyperlink r:id="rId16" w:history="1">
        <w:r w:rsidRPr="00451E72">
          <w:rPr>
            <w:rFonts w:ascii="Times New Roman" w:hAnsi="Times New Roman" w:cs="Times New Roman"/>
            <w:sz w:val="24"/>
            <w:szCs w:val="24"/>
            <w:lang w:val="en-US"/>
          </w:rPr>
          <w:t>https://pubmed.ncbi.nlm.nih.gov/9179180/</w:t>
        </w:r>
      </w:hyperlink>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Acesso</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11 </w:t>
      </w:r>
      <w:proofErr w:type="gramStart"/>
      <w:r w:rsidRPr="00451E72">
        <w:rPr>
          <w:rFonts w:ascii="Times New Roman" w:hAnsi="Times New Roman" w:cs="Times New Roman"/>
          <w:sz w:val="24"/>
          <w:szCs w:val="24"/>
          <w:lang w:val="en-US"/>
        </w:rPr>
        <w:t>mar</w:t>
      </w:r>
      <w:proofErr w:type="gramEnd"/>
      <w:r w:rsidRPr="00451E72">
        <w:rPr>
          <w:rFonts w:ascii="Times New Roman" w:hAnsi="Times New Roman" w:cs="Times New Roman"/>
          <w:sz w:val="24"/>
          <w:szCs w:val="24"/>
          <w:lang w:val="en-US"/>
        </w:rPr>
        <w:t xml:space="preserve">. 2022. </w:t>
      </w:r>
    </w:p>
    <w:p w14:paraId="27E374E8" w14:textId="77777777" w:rsidR="00EF4E78" w:rsidRPr="00451E72" w:rsidRDefault="00EF4E78" w:rsidP="00EF4E78">
      <w:pPr>
        <w:spacing w:after="240" w:line="24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lang w:val="en-US"/>
        </w:rPr>
        <w:t>GUILLEMIN, F.; BOMBARDIER, C.; BEATON, D. Cross-cultural adaptation of health-related quality of life measures: literature review and proposed guidelines</w:t>
      </w:r>
      <w:r w:rsidRPr="00451E72">
        <w:rPr>
          <w:rFonts w:ascii="Times New Roman" w:hAnsi="Times New Roman" w:cs="Times New Roman"/>
          <w:i/>
          <w:iCs/>
          <w:sz w:val="24"/>
          <w:szCs w:val="24"/>
          <w:lang w:val="en-US"/>
        </w:rPr>
        <w:t xml:space="preserve">. </w:t>
      </w:r>
      <w:proofErr w:type="spellStart"/>
      <w:r w:rsidRPr="00451E72">
        <w:rPr>
          <w:rFonts w:ascii="Times New Roman" w:hAnsi="Times New Roman" w:cs="Times New Roman"/>
          <w:b/>
          <w:bCs/>
          <w:sz w:val="24"/>
          <w:szCs w:val="24"/>
        </w:rPr>
        <w:t>Jounal</w:t>
      </w:r>
      <w:proofErr w:type="spellEnd"/>
      <w:r w:rsidRPr="00451E72">
        <w:rPr>
          <w:rFonts w:ascii="Times New Roman" w:hAnsi="Times New Roman" w:cs="Times New Roman"/>
          <w:i/>
          <w:iCs/>
          <w:sz w:val="24"/>
          <w:szCs w:val="24"/>
        </w:rPr>
        <w:t xml:space="preserve"> </w:t>
      </w:r>
      <w:proofErr w:type="spellStart"/>
      <w:r w:rsidRPr="00451E72">
        <w:rPr>
          <w:rFonts w:ascii="Times New Roman" w:hAnsi="Times New Roman" w:cs="Times New Roman"/>
          <w:b/>
          <w:bCs/>
          <w:sz w:val="24"/>
          <w:szCs w:val="24"/>
        </w:rPr>
        <w:t>of</w:t>
      </w:r>
      <w:proofErr w:type="spellEnd"/>
      <w:r w:rsidRPr="00451E72">
        <w:rPr>
          <w:rFonts w:ascii="Times New Roman" w:hAnsi="Times New Roman" w:cs="Times New Roman"/>
          <w:i/>
          <w:iCs/>
          <w:sz w:val="24"/>
          <w:szCs w:val="24"/>
        </w:rPr>
        <w:t xml:space="preserve"> </w:t>
      </w:r>
      <w:r w:rsidRPr="00451E72">
        <w:rPr>
          <w:rFonts w:ascii="Times New Roman" w:hAnsi="Times New Roman" w:cs="Times New Roman"/>
          <w:b/>
          <w:bCs/>
          <w:sz w:val="24"/>
          <w:szCs w:val="24"/>
        </w:rPr>
        <w:t>Clinical</w:t>
      </w:r>
      <w:r w:rsidRPr="00451E72">
        <w:rPr>
          <w:rFonts w:ascii="Times New Roman" w:hAnsi="Times New Roman" w:cs="Times New Roman"/>
          <w:i/>
          <w:iCs/>
          <w:sz w:val="24"/>
          <w:szCs w:val="24"/>
        </w:rPr>
        <w:t xml:space="preserve"> </w:t>
      </w:r>
      <w:proofErr w:type="spellStart"/>
      <w:r w:rsidRPr="00451E72">
        <w:rPr>
          <w:rFonts w:ascii="Times New Roman" w:hAnsi="Times New Roman" w:cs="Times New Roman"/>
          <w:b/>
          <w:bCs/>
          <w:sz w:val="24"/>
          <w:szCs w:val="24"/>
        </w:rPr>
        <w:t>Epidemiology</w:t>
      </w:r>
      <w:proofErr w:type="spellEnd"/>
      <w:r w:rsidRPr="00451E72">
        <w:rPr>
          <w:rFonts w:ascii="Times New Roman" w:hAnsi="Times New Roman" w:cs="Times New Roman"/>
          <w:sz w:val="24"/>
          <w:szCs w:val="24"/>
        </w:rPr>
        <w:t xml:space="preserve">, v. 46, n. 12, p. 1417-1432, 1993. Disponível em: </w:t>
      </w:r>
      <w:hyperlink r:id="rId17" w:history="1">
        <w:r w:rsidRPr="00451E72">
          <w:rPr>
            <w:rFonts w:ascii="Times New Roman" w:hAnsi="Times New Roman" w:cs="Times New Roman"/>
            <w:sz w:val="24"/>
            <w:szCs w:val="24"/>
          </w:rPr>
          <w:t>https://pubmed.ncbi.nlm.nih.gov/8263569/</w:t>
        </w:r>
      </w:hyperlink>
      <w:r w:rsidRPr="00451E72">
        <w:rPr>
          <w:rFonts w:ascii="Times New Roman" w:hAnsi="Times New Roman" w:cs="Times New Roman"/>
          <w:sz w:val="24"/>
          <w:szCs w:val="24"/>
        </w:rPr>
        <w:t>. Acesso em: 2 jun. 2022.</w:t>
      </w:r>
    </w:p>
    <w:p w14:paraId="5C08B41B" w14:textId="77777777" w:rsidR="00EF4E78" w:rsidRPr="00451E72" w:rsidRDefault="00EF4E78" w:rsidP="00EF4E78">
      <w:pPr>
        <w:spacing w:after="240" w:line="240" w:lineRule="auto"/>
        <w:ind w:left="0" w:hanging="2"/>
        <w:jc w:val="both"/>
        <w:rPr>
          <w:rFonts w:ascii="Times New Roman" w:hAnsi="Times New Roman" w:cs="Times New Roman"/>
          <w:sz w:val="24"/>
          <w:szCs w:val="24"/>
          <w:lang w:val="en-US"/>
        </w:rPr>
      </w:pPr>
      <w:r w:rsidRPr="00451E72">
        <w:rPr>
          <w:rFonts w:ascii="Times New Roman" w:hAnsi="Times New Roman" w:cs="Times New Roman"/>
          <w:sz w:val="24"/>
          <w:szCs w:val="24"/>
        </w:rPr>
        <w:t xml:space="preserve">HASSELMANN, M. H.; REICHENHEIM, M. E. Adaptação transcultural da versão em português da </w:t>
      </w:r>
      <w:proofErr w:type="spellStart"/>
      <w:r w:rsidRPr="00451E72">
        <w:rPr>
          <w:rFonts w:ascii="Times New Roman" w:hAnsi="Times New Roman" w:cs="Times New Roman"/>
          <w:sz w:val="24"/>
          <w:szCs w:val="24"/>
        </w:rPr>
        <w:t>conflict</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tactics</w:t>
      </w:r>
      <w:proofErr w:type="spellEnd"/>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rPr>
        <w:t>scales</w:t>
      </w:r>
      <w:proofErr w:type="spellEnd"/>
      <w:r w:rsidRPr="00451E72">
        <w:rPr>
          <w:rFonts w:ascii="Times New Roman" w:hAnsi="Times New Roman" w:cs="Times New Roman"/>
          <w:sz w:val="24"/>
          <w:szCs w:val="24"/>
        </w:rPr>
        <w:t xml:space="preserve"> R (CTS-1), usada para aferir violência no casal: Equivalências semântica e de mensuração. </w:t>
      </w:r>
      <w:r w:rsidRPr="00451E72">
        <w:rPr>
          <w:rFonts w:ascii="Times New Roman" w:hAnsi="Times New Roman" w:cs="Times New Roman"/>
          <w:b/>
          <w:bCs/>
          <w:sz w:val="24"/>
          <w:szCs w:val="24"/>
        </w:rPr>
        <w:t>Cadernos</w:t>
      </w:r>
      <w:r w:rsidRPr="00451E72">
        <w:rPr>
          <w:rFonts w:ascii="Times New Roman" w:hAnsi="Times New Roman" w:cs="Times New Roman"/>
          <w:i/>
          <w:iCs/>
          <w:sz w:val="24"/>
          <w:szCs w:val="24"/>
        </w:rPr>
        <w:t xml:space="preserve"> </w:t>
      </w:r>
      <w:r w:rsidRPr="00451E72">
        <w:rPr>
          <w:rFonts w:ascii="Times New Roman" w:hAnsi="Times New Roman" w:cs="Times New Roman"/>
          <w:b/>
          <w:bCs/>
          <w:sz w:val="24"/>
          <w:szCs w:val="24"/>
        </w:rPr>
        <w:t>de</w:t>
      </w:r>
      <w:r w:rsidRPr="00451E72">
        <w:rPr>
          <w:rFonts w:ascii="Times New Roman" w:hAnsi="Times New Roman" w:cs="Times New Roman"/>
          <w:i/>
          <w:iCs/>
          <w:sz w:val="24"/>
          <w:szCs w:val="24"/>
        </w:rPr>
        <w:t xml:space="preserve"> </w:t>
      </w:r>
      <w:r w:rsidRPr="00451E72">
        <w:rPr>
          <w:rFonts w:ascii="Times New Roman" w:hAnsi="Times New Roman" w:cs="Times New Roman"/>
          <w:b/>
          <w:bCs/>
          <w:sz w:val="24"/>
          <w:szCs w:val="24"/>
        </w:rPr>
        <w:t>Saúde</w:t>
      </w:r>
      <w:r w:rsidRPr="00451E72">
        <w:rPr>
          <w:rFonts w:ascii="Times New Roman" w:hAnsi="Times New Roman" w:cs="Times New Roman"/>
          <w:i/>
          <w:iCs/>
          <w:sz w:val="24"/>
          <w:szCs w:val="24"/>
        </w:rPr>
        <w:t xml:space="preserve"> </w:t>
      </w:r>
      <w:r w:rsidRPr="00451E72">
        <w:rPr>
          <w:rFonts w:ascii="Times New Roman" w:hAnsi="Times New Roman" w:cs="Times New Roman"/>
          <w:b/>
          <w:bCs/>
          <w:sz w:val="24"/>
          <w:szCs w:val="24"/>
        </w:rPr>
        <w:t>Pública</w:t>
      </w:r>
      <w:r w:rsidRPr="00451E72">
        <w:rPr>
          <w:rFonts w:ascii="Times New Roman" w:hAnsi="Times New Roman" w:cs="Times New Roman"/>
          <w:sz w:val="24"/>
          <w:szCs w:val="24"/>
        </w:rPr>
        <w:t xml:space="preserve">, v. 19, n. 4, p. 1083-1093, 2003. Disponível em: </w:t>
      </w:r>
      <w:hyperlink r:id="rId18" w:history="1">
        <w:r w:rsidRPr="00451E72">
          <w:rPr>
            <w:rFonts w:ascii="Times New Roman" w:hAnsi="Times New Roman" w:cs="Times New Roman"/>
            <w:sz w:val="24"/>
            <w:szCs w:val="24"/>
          </w:rPr>
          <w:t>https://www.scielosp.org/article/csp/2003.v19n4/1083-1093/</w:t>
        </w:r>
      </w:hyperlink>
      <w:r w:rsidRPr="00451E72">
        <w:rPr>
          <w:rFonts w:ascii="Times New Roman" w:hAnsi="Times New Roman" w:cs="Times New Roman"/>
          <w:sz w:val="24"/>
          <w:szCs w:val="24"/>
        </w:rPr>
        <w:t xml:space="preserve">. </w:t>
      </w:r>
      <w:proofErr w:type="spellStart"/>
      <w:r w:rsidRPr="00451E72">
        <w:rPr>
          <w:rFonts w:ascii="Times New Roman" w:hAnsi="Times New Roman" w:cs="Times New Roman"/>
          <w:sz w:val="24"/>
          <w:szCs w:val="24"/>
          <w:lang w:val="en-US"/>
        </w:rPr>
        <w:t>Acesso</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3 </w:t>
      </w:r>
      <w:proofErr w:type="spellStart"/>
      <w:r w:rsidRPr="00451E72">
        <w:rPr>
          <w:rFonts w:ascii="Times New Roman" w:hAnsi="Times New Roman" w:cs="Times New Roman"/>
          <w:sz w:val="24"/>
          <w:szCs w:val="24"/>
          <w:lang w:val="en-US"/>
        </w:rPr>
        <w:t>dez</w:t>
      </w:r>
      <w:proofErr w:type="spellEnd"/>
      <w:r w:rsidRPr="00451E72">
        <w:rPr>
          <w:rFonts w:ascii="Times New Roman" w:hAnsi="Times New Roman" w:cs="Times New Roman"/>
          <w:sz w:val="24"/>
          <w:szCs w:val="24"/>
          <w:lang w:val="en-US"/>
        </w:rPr>
        <w:t xml:space="preserve">. 2024. </w:t>
      </w:r>
    </w:p>
    <w:p w14:paraId="54F2691E" w14:textId="77777777" w:rsidR="00EF4E78" w:rsidRPr="00451E72" w:rsidRDefault="00EF4E78" w:rsidP="00EF4E78">
      <w:pPr>
        <w:tabs>
          <w:tab w:val="num" w:pos="720"/>
        </w:tabs>
        <w:spacing w:after="240" w:line="240" w:lineRule="auto"/>
        <w:ind w:left="0" w:hanging="2"/>
        <w:jc w:val="both"/>
        <w:rPr>
          <w:rFonts w:ascii="Times New Roman" w:hAnsi="Times New Roman" w:cs="Times New Roman"/>
          <w:sz w:val="24"/>
          <w:szCs w:val="24"/>
          <w:lang w:val="en-US"/>
        </w:rPr>
      </w:pPr>
      <w:r w:rsidRPr="00451E72">
        <w:rPr>
          <w:rFonts w:ascii="Times New Roman" w:hAnsi="Times New Roman" w:cs="Times New Roman"/>
          <w:sz w:val="24"/>
          <w:szCs w:val="24"/>
          <w:lang w:val="en-US"/>
        </w:rPr>
        <w:t xml:space="preserve">HERDMAN, M.; FOX- RUSHBY, J.; BADIA, X. A model of equivalence in the cultural adaptation of </w:t>
      </w:r>
      <w:proofErr w:type="spellStart"/>
      <w:r w:rsidRPr="00451E72">
        <w:rPr>
          <w:rFonts w:ascii="Times New Roman" w:hAnsi="Times New Roman" w:cs="Times New Roman"/>
          <w:sz w:val="24"/>
          <w:szCs w:val="24"/>
          <w:lang w:val="en-US"/>
        </w:rPr>
        <w:t>HRQol</w:t>
      </w:r>
      <w:proofErr w:type="spellEnd"/>
      <w:r w:rsidRPr="00451E72">
        <w:rPr>
          <w:rFonts w:ascii="Times New Roman" w:hAnsi="Times New Roman" w:cs="Times New Roman"/>
          <w:sz w:val="24"/>
          <w:szCs w:val="24"/>
          <w:lang w:val="en-US"/>
        </w:rPr>
        <w:t xml:space="preserve"> Instruments: The universalist approach. </w:t>
      </w:r>
      <w:r w:rsidRPr="00451E72">
        <w:rPr>
          <w:rFonts w:ascii="Times New Roman" w:hAnsi="Times New Roman" w:cs="Times New Roman"/>
          <w:b/>
          <w:bCs/>
          <w:sz w:val="24"/>
          <w:szCs w:val="24"/>
          <w:lang w:val="en-US"/>
        </w:rPr>
        <w:t>Quality</w:t>
      </w:r>
      <w:r w:rsidRPr="00451E72">
        <w:rPr>
          <w:rFonts w:ascii="Times New Roman" w:hAnsi="Times New Roman" w:cs="Times New Roman"/>
          <w:i/>
          <w:iCs/>
          <w:sz w:val="24"/>
          <w:szCs w:val="24"/>
          <w:lang w:val="en-US"/>
        </w:rPr>
        <w:t xml:space="preserve"> </w:t>
      </w:r>
      <w:r w:rsidRPr="00451E72">
        <w:rPr>
          <w:rFonts w:ascii="Times New Roman" w:hAnsi="Times New Roman" w:cs="Times New Roman"/>
          <w:b/>
          <w:bCs/>
          <w:sz w:val="24"/>
          <w:szCs w:val="24"/>
          <w:lang w:val="en-US"/>
        </w:rPr>
        <w:t>of</w:t>
      </w:r>
      <w:r w:rsidRPr="00451E72">
        <w:rPr>
          <w:rFonts w:ascii="Times New Roman" w:hAnsi="Times New Roman" w:cs="Times New Roman"/>
          <w:i/>
          <w:iCs/>
          <w:sz w:val="24"/>
          <w:szCs w:val="24"/>
          <w:lang w:val="en-US"/>
        </w:rPr>
        <w:t xml:space="preserve"> </w:t>
      </w:r>
      <w:r w:rsidRPr="00451E72">
        <w:rPr>
          <w:rFonts w:ascii="Times New Roman" w:hAnsi="Times New Roman" w:cs="Times New Roman"/>
          <w:b/>
          <w:bCs/>
          <w:sz w:val="24"/>
          <w:szCs w:val="24"/>
          <w:lang w:val="en-US"/>
        </w:rPr>
        <w:t>Life</w:t>
      </w:r>
      <w:r w:rsidRPr="00451E72">
        <w:rPr>
          <w:rFonts w:ascii="Times New Roman" w:hAnsi="Times New Roman" w:cs="Times New Roman"/>
          <w:i/>
          <w:iCs/>
          <w:sz w:val="24"/>
          <w:szCs w:val="24"/>
          <w:lang w:val="en-US"/>
        </w:rPr>
        <w:t xml:space="preserve"> </w:t>
      </w:r>
      <w:r w:rsidRPr="00451E72">
        <w:rPr>
          <w:rFonts w:ascii="Times New Roman" w:hAnsi="Times New Roman" w:cs="Times New Roman"/>
          <w:b/>
          <w:bCs/>
          <w:sz w:val="24"/>
          <w:szCs w:val="24"/>
          <w:lang w:val="en-US"/>
        </w:rPr>
        <w:t>Research</w:t>
      </w:r>
      <w:r w:rsidRPr="00451E72">
        <w:rPr>
          <w:rFonts w:ascii="Times New Roman" w:hAnsi="Times New Roman" w:cs="Times New Roman"/>
          <w:sz w:val="24"/>
          <w:szCs w:val="24"/>
          <w:lang w:val="en-US"/>
        </w:rPr>
        <w:t xml:space="preserve">, n. 4, </w:t>
      </w:r>
      <w:r w:rsidRPr="00451E72">
        <w:rPr>
          <w:rFonts w:ascii="Times New Roman" w:hAnsi="Times New Roman" w:cs="Times New Roman"/>
          <w:sz w:val="24"/>
          <w:szCs w:val="24"/>
          <w:lang w:val="en-US"/>
        </w:rPr>
        <w:lastRenderedPageBreak/>
        <w:t xml:space="preserve">p. 323-335, 1998. </w:t>
      </w:r>
      <w:proofErr w:type="spellStart"/>
      <w:r w:rsidRPr="00451E72">
        <w:rPr>
          <w:rFonts w:ascii="Times New Roman" w:hAnsi="Times New Roman" w:cs="Times New Roman"/>
          <w:sz w:val="24"/>
          <w:szCs w:val="24"/>
          <w:lang w:val="en-US"/>
        </w:rPr>
        <w:t>Disponível</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w:t>
      </w:r>
      <w:hyperlink r:id="rId19" w:history="1">
        <w:r w:rsidRPr="00451E72">
          <w:rPr>
            <w:rFonts w:ascii="Times New Roman" w:hAnsi="Times New Roman" w:cs="Times New Roman"/>
            <w:sz w:val="24"/>
            <w:szCs w:val="24"/>
            <w:lang w:val="en-US"/>
          </w:rPr>
          <w:t>https://pubmed.ncbi.nlm.nih.gov/9610216/</w:t>
        </w:r>
      </w:hyperlink>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Acesso</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3 </w:t>
      </w:r>
      <w:proofErr w:type="spellStart"/>
      <w:r w:rsidRPr="00451E72">
        <w:rPr>
          <w:rFonts w:ascii="Times New Roman" w:hAnsi="Times New Roman" w:cs="Times New Roman"/>
          <w:sz w:val="24"/>
          <w:szCs w:val="24"/>
          <w:lang w:val="en-US"/>
        </w:rPr>
        <w:t>dez</w:t>
      </w:r>
      <w:proofErr w:type="spellEnd"/>
      <w:r w:rsidRPr="00451E72">
        <w:rPr>
          <w:rFonts w:ascii="Times New Roman" w:hAnsi="Times New Roman" w:cs="Times New Roman"/>
          <w:sz w:val="24"/>
          <w:szCs w:val="24"/>
          <w:lang w:val="en-US"/>
        </w:rPr>
        <w:t xml:space="preserve">. 2024. </w:t>
      </w:r>
    </w:p>
    <w:p w14:paraId="72B780A8" w14:textId="77777777" w:rsidR="00EF4E78" w:rsidRPr="00451E72" w:rsidRDefault="00EF4E78" w:rsidP="00EF4E78">
      <w:pPr>
        <w:spacing w:after="240" w:line="240" w:lineRule="auto"/>
        <w:ind w:left="0" w:hanging="2"/>
        <w:jc w:val="both"/>
        <w:rPr>
          <w:rFonts w:ascii="Times New Roman" w:hAnsi="Times New Roman" w:cs="Times New Roman"/>
          <w:sz w:val="24"/>
          <w:szCs w:val="24"/>
          <w:lang w:val="en-US"/>
        </w:rPr>
      </w:pPr>
      <w:r w:rsidRPr="00451E72">
        <w:rPr>
          <w:rFonts w:ascii="Times New Roman" w:hAnsi="Times New Roman" w:cs="Times New Roman"/>
          <w:sz w:val="24"/>
          <w:szCs w:val="24"/>
          <w:lang w:val="en-US"/>
        </w:rPr>
        <w:t xml:space="preserve">HUTCHINSON, A.; BENTZEN, N.; KONIG-ZANHN, C. </w:t>
      </w:r>
      <w:r w:rsidRPr="00451E72">
        <w:rPr>
          <w:rFonts w:ascii="Times New Roman" w:hAnsi="Times New Roman" w:cs="Times New Roman"/>
          <w:b/>
          <w:bCs/>
          <w:sz w:val="24"/>
          <w:szCs w:val="24"/>
          <w:lang w:val="en-US"/>
        </w:rPr>
        <w:t>Cross cultural health outcome assessment: a user’s guide</w:t>
      </w:r>
      <w:r w:rsidRPr="00451E72">
        <w:rPr>
          <w:rFonts w:ascii="Times New Roman" w:hAnsi="Times New Roman" w:cs="Times New Roman"/>
          <w:sz w:val="24"/>
          <w:szCs w:val="24"/>
          <w:lang w:val="en-US"/>
        </w:rPr>
        <w:t>. The Netherlands: ERGHO; 1996.</w:t>
      </w:r>
    </w:p>
    <w:p w14:paraId="04CFA84B" w14:textId="77777777" w:rsidR="00EF4E78" w:rsidRPr="00451E72" w:rsidRDefault="00EF4E78" w:rsidP="00EF4E78">
      <w:pPr>
        <w:spacing w:after="240" w:line="240" w:lineRule="auto"/>
        <w:ind w:left="0" w:hanging="2"/>
        <w:jc w:val="both"/>
        <w:rPr>
          <w:rFonts w:ascii="Times New Roman" w:hAnsi="Times New Roman" w:cs="Times New Roman"/>
          <w:sz w:val="24"/>
          <w:szCs w:val="24"/>
          <w:lang w:val="en-US"/>
        </w:rPr>
      </w:pPr>
      <w:r w:rsidRPr="00C820AA">
        <w:rPr>
          <w:rFonts w:ascii="Times New Roman" w:hAnsi="Times New Roman" w:cs="Times New Roman"/>
          <w:sz w:val="24"/>
          <w:szCs w:val="24"/>
          <w:lang w:val="es-419"/>
        </w:rPr>
        <w:t xml:space="preserve">LANDAU, E. </w:t>
      </w:r>
      <w:r w:rsidRPr="00C820AA">
        <w:rPr>
          <w:rFonts w:ascii="Times New Roman" w:hAnsi="Times New Roman" w:cs="Times New Roman"/>
          <w:b/>
          <w:bCs/>
          <w:sz w:val="24"/>
          <w:szCs w:val="24"/>
          <w:lang w:val="es-419"/>
        </w:rPr>
        <w:t>El valor de ser superdotado.</w:t>
      </w:r>
      <w:r w:rsidRPr="00C820AA">
        <w:rPr>
          <w:rFonts w:ascii="Times New Roman" w:hAnsi="Times New Roman" w:cs="Times New Roman"/>
          <w:sz w:val="24"/>
          <w:szCs w:val="24"/>
          <w:lang w:val="es-419"/>
        </w:rPr>
        <w:t xml:space="preserve"> </w:t>
      </w:r>
      <w:r w:rsidRPr="00451E72">
        <w:rPr>
          <w:rFonts w:ascii="Times New Roman" w:hAnsi="Times New Roman" w:cs="Times New Roman"/>
          <w:sz w:val="24"/>
          <w:szCs w:val="24"/>
          <w:lang w:val="en-US"/>
        </w:rPr>
        <w:t>Nueva Librería: Buenos Aires. 2008.</w:t>
      </w:r>
    </w:p>
    <w:p w14:paraId="2D77F115" w14:textId="77777777" w:rsidR="00EF4E78" w:rsidRPr="00451E72" w:rsidRDefault="00EF4E78" w:rsidP="00EF4E78">
      <w:pPr>
        <w:spacing w:after="240" w:line="240" w:lineRule="auto"/>
        <w:ind w:left="0" w:hanging="2"/>
        <w:jc w:val="both"/>
        <w:rPr>
          <w:rFonts w:ascii="Times New Roman" w:hAnsi="Times New Roman" w:cs="Times New Roman"/>
          <w:sz w:val="24"/>
          <w:szCs w:val="24"/>
        </w:rPr>
      </w:pPr>
      <w:r w:rsidRPr="00451E72">
        <w:rPr>
          <w:rFonts w:ascii="Times New Roman" w:hAnsi="Times New Roman" w:cs="Times New Roman"/>
          <w:sz w:val="24"/>
          <w:szCs w:val="24"/>
          <w:lang w:val="en-US"/>
        </w:rPr>
        <w:t>LYNN, M. R. Determination and quantification of content validity</w:t>
      </w:r>
      <w:r w:rsidRPr="00451E72">
        <w:rPr>
          <w:rFonts w:ascii="Times New Roman" w:hAnsi="Times New Roman" w:cs="Times New Roman"/>
          <w:i/>
          <w:iCs/>
          <w:sz w:val="24"/>
          <w:szCs w:val="24"/>
          <w:lang w:val="en-US"/>
        </w:rPr>
        <w:t xml:space="preserve">. </w:t>
      </w:r>
      <w:proofErr w:type="spellStart"/>
      <w:r w:rsidRPr="00C820AA">
        <w:rPr>
          <w:rFonts w:ascii="Times New Roman" w:hAnsi="Times New Roman" w:cs="Times New Roman"/>
          <w:b/>
          <w:bCs/>
          <w:sz w:val="24"/>
          <w:szCs w:val="24"/>
          <w:lang w:val="es-419"/>
        </w:rPr>
        <w:t>Nursing</w:t>
      </w:r>
      <w:proofErr w:type="spellEnd"/>
      <w:r w:rsidRPr="00C820AA">
        <w:rPr>
          <w:rFonts w:ascii="Times New Roman" w:hAnsi="Times New Roman" w:cs="Times New Roman"/>
          <w:b/>
          <w:bCs/>
          <w:sz w:val="24"/>
          <w:szCs w:val="24"/>
          <w:lang w:val="es-419"/>
        </w:rPr>
        <w:t xml:space="preserve"> </w:t>
      </w:r>
      <w:proofErr w:type="spellStart"/>
      <w:r w:rsidRPr="00C820AA">
        <w:rPr>
          <w:rFonts w:ascii="Times New Roman" w:hAnsi="Times New Roman" w:cs="Times New Roman"/>
          <w:b/>
          <w:bCs/>
          <w:sz w:val="24"/>
          <w:szCs w:val="24"/>
          <w:lang w:val="es-419"/>
        </w:rPr>
        <w:t>Research</w:t>
      </w:r>
      <w:proofErr w:type="spellEnd"/>
      <w:r w:rsidRPr="00C820AA">
        <w:rPr>
          <w:rFonts w:ascii="Times New Roman" w:hAnsi="Times New Roman" w:cs="Times New Roman"/>
          <w:b/>
          <w:bCs/>
          <w:sz w:val="24"/>
          <w:szCs w:val="24"/>
          <w:lang w:val="es-419"/>
        </w:rPr>
        <w:t>,</w:t>
      </w:r>
      <w:r w:rsidRPr="00C820AA">
        <w:rPr>
          <w:rFonts w:ascii="Times New Roman" w:hAnsi="Times New Roman" w:cs="Times New Roman"/>
          <w:sz w:val="24"/>
          <w:szCs w:val="24"/>
          <w:lang w:val="es-419"/>
        </w:rPr>
        <w:t xml:space="preserve"> v. 35, n. 6, p. 382-385, 1986. </w:t>
      </w:r>
      <w:r w:rsidRPr="00451E72">
        <w:rPr>
          <w:rFonts w:ascii="Times New Roman" w:hAnsi="Times New Roman" w:cs="Times New Roman"/>
          <w:sz w:val="24"/>
          <w:szCs w:val="24"/>
        </w:rPr>
        <w:t xml:space="preserve">Disponível em: </w:t>
      </w:r>
      <w:hyperlink r:id="rId20" w:history="1">
        <w:r w:rsidRPr="00451E72">
          <w:rPr>
            <w:rFonts w:ascii="Times New Roman" w:hAnsi="Times New Roman" w:cs="Times New Roman"/>
            <w:sz w:val="24"/>
            <w:szCs w:val="24"/>
          </w:rPr>
          <w:t>https://pubmed.ncbi.nlm.nih.gov/3640358/</w:t>
        </w:r>
      </w:hyperlink>
      <w:r w:rsidRPr="00451E72">
        <w:rPr>
          <w:rFonts w:ascii="Times New Roman" w:hAnsi="Times New Roman" w:cs="Times New Roman"/>
          <w:sz w:val="24"/>
          <w:szCs w:val="24"/>
        </w:rPr>
        <w:t>. Acesso em: 2 jan. 2023.</w:t>
      </w:r>
    </w:p>
    <w:p w14:paraId="6D687011" w14:textId="77777777" w:rsidR="00EF4E78" w:rsidRPr="00C820AA" w:rsidRDefault="00EF4E78" w:rsidP="00EF4E78">
      <w:pPr>
        <w:shd w:val="clear" w:color="auto" w:fill="FFFFFF"/>
        <w:spacing w:after="240" w:line="240" w:lineRule="auto"/>
        <w:ind w:left="0" w:hanging="2"/>
        <w:jc w:val="both"/>
        <w:rPr>
          <w:rFonts w:ascii="Times New Roman" w:hAnsi="Times New Roman" w:cs="Times New Roman"/>
          <w:sz w:val="24"/>
          <w:szCs w:val="24"/>
          <w:lang w:val="es-419"/>
        </w:rPr>
      </w:pPr>
      <w:r w:rsidRPr="00C820AA">
        <w:rPr>
          <w:rFonts w:ascii="Times New Roman" w:hAnsi="Times New Roman" w:cs="Times New Roman"/>
          <w:sz w:val="24"/>
          <w:szCs w:val="24"/>
          <w:lang w:val="es-419"/>
        </w:rPr>
        <w:t>MARTÍNEZ, M.; CASTELLÓ, A. Los perfiles de la excepcionalidad intelectual. In: CASTAÑEDA, S. (Ed.). Educación, aprendizaje y cognición</w:t>
      </w:r>
      <w:r w:rsidRPr="00C820AA">
        <w:rPr>
          <w:rFonts w:ascii="Times New Roman" w:hAnsi="Times New Roman" w:cs="Times New Roman"/>
          <w:i/>
          <w:iCs/>
          <w:sz w:val="24"/>
          <w:szCs w:val="24"/>
          <w:lang w:val="es-419"/>
        </w:rPr>
        <w:t xml:space="preserve">. </w:t>
      </w:r>
      <w:r w:rsidRPr="00C820AA">
        <w:rPr>
          <w:rFonts w:ascii="Times New Roman" w:hAnsi="Times New Roman" w:cs="Times New Roman"/>
          <w:b/>
          <w:bCs/>
          <w:sz w:val="24"/>
          <w:szCs w:val="24"/>
          <w:lang w:val="es-419"/>
        </w:rPr>
        <w:t>Teoría en la práctica.</w:t>
      </w:r>
      <w:r w:rsidRPr="00C820AA">
        <w:rPr>
          <w:rFonts w:ascii="Times New Roman" w:hAnsi="Times New Roman" w:cs="Times New Roman"/>
          <w:sz w:val="24"/>
          <w:szCs w:val="24"/>
          <w:lang w:val="es-419"/>
        </w:rPr>
        <w:t xml:space="preserve"> México: Manual Moderno, 2004, p. 251-266.</w:t>
      </w:r>
    </w:p>
    <w:p w14:paraId="5AA03A47" w14:textId="77777777" w:rsidR="00EF4E78" w:rsidRPr="00451E72" w:rsidRDefault="00EF4E78" w:rsidP="00EF4E78">
      <w:pPr>
        <w:pBdr>
          <w:top w:val="nil"/>
          <w:left w:val="nil"/>
          <w:bottom w:val="nil"/>
          <w:right w:val="nil"/>
          <w:between w:val="nil"/>
        </w:pBdr>
        <w:tabs>
          <w:tab w:val="left" w:pos="9000"/>
          <w:tab w:val="left" w:pos="9240"/>
        </w:tabs>
        <w:spacing w:before="60" w:after="240" w:line="240" w:lineRule="auto"/>
        <w:ind w:left="0" w:hanging="2"/>
        <w:jc w:val="both"/>
        <w:rPr>
          <w:rFonts w:ascii="Times New Roman" w:hAnsi="Times New Roman" w:cs="Times New Roman"/>
          <w:sz w:val="24"/>
          <w:szCs w:val="24"/>
          <w:lang w:val="en-US"/>
        </w:rPr>
      </w:pPr>
      <w:r w:rsidRPr="00C820AA">
        <w:rPr>
          <w:rFonts w:ascii="Times New Roman" w:hAnsi="Times New Roman" w:cs="Times New Roman"/>
          <w:sz w:val="24"/>
          <w:szCs w:val="24"/>
          <w:lang w:val="es-419"/>
        </w:rPr>
        <w:t xml:space="preserve">OYARZÚN, G; GOIC, C.; ASTETE, E. P. Habilidades sociales y rendimiento académico: una mirada desde el género. </w:t>
      </w:r>
      <w:r w:rsidRPr="00C820AA">
        <w:rPr>
          <w:rFonts w:ascii="Times New Roman" w:hAnsi="Times New Roman" w:cs="Times New Roman"/>
          <w:b/>
          <w:bCs/>
          <w:sz w:val="24"/>
          <w:szCs w:val="24"/>
          <w:lang w:val="es-419"/>
        </w:rPr>
        <w:t>Acta Colombiana de Psicología</w:t>
      </w:r>
      <w:r w:rsidRPr="00C820AA">
        <w:rPr>
          <w:rFonts w:ascii="Times New Roman" w:hAnsi="Times New Roman" w:cs="Times New Roman"/>
          <w:sz w:val="24"/>
          <w:szCs w:val="24"/>
          <w:lang w:val="es-419"/>
        </w:rPr>
        <w:t xml:space="preserve">, v. 15, n. 2, p. 21-28, 2012. </w:t>
      </w:r>
      <w:proofErr w:type="spellStart"/>
      <w:r w:rsidRPr="00C820AA">
        <w:rPr>
          <w:rFonts w:ascii="Times New Roman" w:hAnsi="Times New Roman" w:cs="Times New Roman"/>
          <w:sz w:val="24"/>
          <w:szCs w:val="24"/>
          <w:lang w:val="es-419"/>
        </w:rPr>
        <w:t>Disponível</w:t>
      </w:r>
      <w:proofErr w:type="spellEnd"/>
      <w:r w:rsidRPr="00C820AA">
        <w:rPr>
          <w:rFonts w:ascii="Times New Roman" w:hAnsi="Times New Roman" w:cs="Times New Roman"/>
          <w:sz w:val="24"/>
          <w:szCs w:val="24"/>
          <w:lang w:val="es-419"/>
        </w:rPr>
        <w:t xml:space="preserve"> em: </w:t>
      </w:r>
      <w:hyperlink r:id="rId21" w:history="1">
        <w:r w:rsidRPr="00C820AA">
          <w:rPr>
            <w:rFonts w:ascii="Times New Roman" w:hAnsi="Times New Roman" w:cs="Times New Roman"/>
            <w:sz w:val="24"/>
            <w:szCs w:val="24"/>
            <w:lang w:val="es-419"/>
          </w:rPr>
          <w:t>http://www.scielo.org.co/scielo.php?script=sci_arttext&amp;pid=S0123-91552012000200003</w:t>
        </w:r>
      </w:hyperlink>
      <w:r w:rsidRPr="00C820AA">
        <w:rPr>
          <w:rFonts w:ascii="Times New Roman" w:hAnsi="Times New Roman" w:cs="Times New Roman"/>
          <w:sz w:val="24"/>
          <w:szCs w:val="24"/>
          <w:lang w:val="es-419"/>
        </w:rPr>
        <w:t xml:space="preserve">. </w:t>
      </w:r>
      <w:proofErr w:type="spellStart"/>
      <w:r w:rsidRPr="00451E72">
        <w:rPr>
          <w:rFonts w:ascii="Times New Roman" w:hAnsi="Times New Roman" w:cs="Times New Roman"/>
          <w:sz w:val="24"/>
          <w:szCs w:val="24"/>
          <w:lang w:val="en-US"/>
        </w:rPr>
        <w:t>Acesso</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20 </w:t>
      </w:r>
      <w:proofErr w:type="spellStart"/>
      <w:r w:rsidRPr="00451E72">
        <w:rPr>
          <w:rFonts w:ascii="Times New Roman" w:hAnsi="Times New Roman" w:cs="Times New Roman"/>
          <w:sz w:val="24"/>
          <w:szCs w:val="24"/>
          <w:lang w:val="en-US"/>
        </w:rPr>
        <w:t>fev</w:t>
      </w:r>
      <w:proofErr w:type="spellEnd"/>
      <w:r w:rsidRPr="00451E72">
        <w:rPr>
          <w:rFonts w:ascii="Times New Roman" w:hAnsi="Times New Roman" w:cs="Times New Roman"/>
          <w:sz w:val="24"/>
          <w:szCs w:val="24"/>
          <w:lang w:val="en-US"/>
        </w:rPr>
        <w:t xml:space="preserve">. 2024. </w:t>
      </w:r>
    </w:p>
    <w:p w14:paraId="4FE8AA9B" w14:textId="77777777" w:rsidR="00EF4E78" w:rsidRPr="00451E72" w:rsidRDefault="00EF4E78" w:rsidP="00EF4E78">
      <w:pPr>
        <w:spacing w:after="240" w:line="240" w:lineRule="auto"/>
        <w:ind w:left="0" w:hanging="2"/>
        <w:jc w:val="both"/>
        <w:textAlignment w:val="baseline"/>
        <w:rPr>
          <w:rFonts w:ascii="Times New Roman" w:hAnsi="Times New Roman" w:cs="Times New Roman"/>
          <w:sz w:val="24"/>
          <w:szCs w:val="24"/>
          <w:lang w:val="en-US"/>
        </w:rPr>
      </w:pPr>
      <w:r w:rsidRPr="00451E72">
        <w:rPr>
          <w:rFonts w:ascii="Times New Roman" w:hAnsi="Times New Roman" w:cs="Times New Roman"/>
          <w:sz w:val="24"/>
          <w:szCs w:val="24"/>
          <w:lang w:val="en-US"/>
        </w:rPr>
        <w:t xml:space="preserve">PFEIFFER, S. I. </w:t>
      </w:r>
      <w:r w:rsidRPr="00451E72">
        <w:rPr>
          <w:rFonts w:ascii="Times New Roman" w:hAnsi="Times New Roman" w:cs="Times New Roman"/>
          <w:b/>
          <w:bCs/>
          <w:sz w:val="24"/>
          <w:szCs w:val="24"/>
          <w:lang w:val="en-US"/>
        </w:rPr>
        <w:t>Serving the gifted:</w:t>
      </w:r>
      <w:r w:rsidRPr="00451E72">
        <w:rPr>
          <w:rFonts w:ascii="Times New Roman" w:hAnsi="Times New Roman" w:cs="Times New Roman"/>
          <w:sz w:val="24"/>
          <w:szCs w:val="24"/>
          <w:lang w:val="en-US"/>
        </w:rPr>
        <w:t xml:space="preserve"> evidence-based clinical and psychoeducational </w:t>
      </w:r>
      <w:proofErr w:type="spellStart"/>
      <w:r w:rsidRPr="00451E72">
        <w:rPr>
          <w:rFonts w:ascii="Times New Roman" w:hAnsi="Times New Roman" w:cs="Times New Roman"/>
          <w:sz w:val="24"/>
          <w:szCs w:val="24"/>
          <w:lang w:val="en-US"/>
        </w:rPr>
        <w:t>pratice</w:t>
      </w:r>
      <w:proofErr w:type="spellEnd"/>
      <w:r w:rsidRPr="00451E72">
        <w:rPr>
          <w:rFonts w:ascii="Times New Roman" w:hAnsi="Times New Roman" w:cs="Times New Roman"/>
          <w:sz w:val="24"/>
          <w:szCs w:val="24"/>
          <w:lang w:val="en-US"/>
        </w:rPr>
        <w:t>. New York, NY: Routledge. 2013.</w:t>
      </w:r>
    </w:p>
    <w:p w14:paraId="2BE5DCF8" w14:textId="77777777" w:rsidR="00EF4E78" w:rsidRPr="00451E72" w:rsidRDefault="00EF4E78" w:rsidP="00EF4E78">
      <w:pPr>
        <w:shd w:val="clear" w:color="auto" w:fill="FFFFFF"/>
        <w:spacing w:after="240" w:line="240" w:lineRule="auto"/>
        <w:ind w:left="0" w:hanging="2"/>
        <w:jc w:val="both"/>
        <w:rPr>
          <w:rFonts w:ascii="Times New Roman" w:hAnsi="Times New Roman" w:cs="Times New Roman"/>
          <w:sz w:val="24"/>
          <w:szCs w:val="24"/>
          <w:lang w:val="en-US"/>
        </w:rPr>
      </w:pPr>
      <w:r w:rsidRPr="00451E72">
        <w:rPr>
          <w:rFonts w:ascii="Times New Roman" w:hAnsi="Times New Roman" w:cs="Times New Roman"/>
          <w:sz w:val="24"/>
          <w:szCs w:val="24"/>
          <w:lang w:val="en-US"/>
        </w:rPr>
        <w:t xml:space="preserve">POLIT, D. F.; BECK, C. T. The content validity index: are you sure you know what's being reported? Critique and </w:t>
      </w:r>
      <w:proofErr w:type="spellStart"/>
      <w:r w:rsidRPr="00451E72">
        <w:rPr>
          <w:rFonts w:ascii="Times New Roman" w:hAnsi="Times New Roman" w:cs="Times New Roman"/>
          <w:sz w:val="24"/>
          <w:szCs w:val="24"/>
          <w:lang w:val="en-US"/>
        </w:rPr>
        <w:t>recomendationas</w:t>
      </w:r>
      <w:proofErr w:type="spellEnd"/>
      <w:r w:rsidRPr="00451E72">
        <w:rPr>
          <w:rFonts w:ascii="Times New Roman" w:hAnsi="Times New Roman" w:cs="Times New Roman"/>
          <w:sz w:val="24"/>
          <w:szCs w:val="24"/>
          <w:lang w:val="en-US"/>
        </w:rPr>
        <w:t>. </w:t>
      </w:r>
      <w:r w:rsidRPr="00451E72">
        <w:rPr>
          <w:rFonts w:ascii="Times New Roman" w:hAnsi="Times New Roman" w:cs="Times New Roman"/>
          <w:b/>
          <w:bCs/>
          <w:sz w:val="24"/>
          <w:szCs w:val="24"/>
          <w:lang w:val="en-US"/>
        </w:rPr>
        <w:t>Research Nursing Health,</w:t>
      </w:r>
      <w:r w:rsidRPr="00451E72">
        <w:rPr>
          <w:rFonts w:ascii="Times New Roman" w:hAnsi="Times New Roman" w:cs="Times New Roman"/>
          <w:sz w:val="24"/>
          <w:szCs w:val="24"/>
          <w:lang w:val="en-US"/>
        </w:rPr>
        <w:t xml:space="preserve"> v. 29, p. 489-497, 2006. </w:t>
      </w:r>
      <w:proofErr w:type="spellStart"/>
      <w:r w:rsidRPr="00451E72">
        <w:rPr>
          <w:rFonts w:ascii="Times New Roman" w:hAnsi="Times New Roman" w:cs="Times New Roman"/>
          <w:sz w:val="24"/>
          <w:szCs w:val="24"/>
          <w:lang w:val="en-US"/>
        </w:rPr>
        <w:t>Disponível</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w:t>
      </w:r>
      <w:hyperlink r:id="rId22" w:history="1">
        <w:r w:rsidRPr="00451E72">
          <w:rPr>
            <w:rFonts w:ascii="Times New Roman" w:hAnsi="Times New Roman" w:cs="Times New Roman"/>
            <w:sz w:val="24"/>
            <w:szCs w:val="24"/>
            <w:lang w:val="en-US"/>
          </w:rPr>
          <w:t>https://pubmed.ncbi.nlm.nih.gov/16977646/</w:t>
        </w:r>
      </w:hyperlink>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Acesso</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1 </w:t>
      </w:r>
      <w:proofErr w:type="spellStart"/>
      <w:r w:rsidRPr="00451E72">
        <w:rPr>
          <w:rFonts w:ascii="Times New Roman" w:hAnsi="Times New Roman" w:cs="Times New Roman"/>
          <w:sz w:val="24"/>
          <w:szCs w:val="24"/>
          <w:lang w:val="en-US"/>
        </w:rPr>
        <w:t>fev</w:t>
      </w:r>
      <w:proofErr w:type="spellEnd"/>
      <w:r w:rsidRPr="00451E72">
        <w:rPr>
          <w:rFonts w:ascii="Times New Roman" w:hAnsi="Times New Roman" w:cs="Times New Roman"/>
          <w:sz w:val="24"/>
          <w:szCs w:val="24"/>
          <w:lang w:val="en-US"/>
        </w:rPr>
        <w:t xml:space="preserve">. 2024. </w:t>
      </w:r>
    </w:p>
    <w:p w14:paraId="2C5AD5B6" w14:textId="77777777" w:rsidR="00EF4E78" w:rsidRPr="00451E72" w:rsidRDefault="00EF4E78" w:rsidP="00EF4E78">
      <w:pPr>
        <w:shd w:val="clear" w:color="auto" w:fill="FFFFFF"/>
        <w:spacing w:line="240" w:lineRule="auto"/>
        <w:ind w:left="0" w:hanging="2"/>
        <w:jc w:val="both"/>
        <w:rPr>
          <w:rFonts w:ascii="Times New Roman" w:hAnsi="Times New Roman" w:cs="Times New Roman"/>
          <w:sz w:val="24"/>
          <w:szCs w:val="24"/>
          <w:lang w:val="en-US"/>
        </w:rPr>
      </w:pPr>
      <w:r w:rsidRPr="00451E72">
        <w:rPr>
          <w:rFonts w:ascii="Times New Roman" w:hAnsi="Times New Roman" w:cs="Times New Roman"/>
          <w:sz w:val="24"/>
          <w:szCs w:val="24"/>
          <w:lang w:val="en-US"/>
        </w:rPr>
        <w:t xml:space="preserve">WILD, D. </w:t>
      </w:r>
      <w:r w:rsidRPr="00451E72">
        <w:rPr>
          <w:rFonts w:ascii="Times New Roman" w:hAnsi="Times New Roman" w:cs="Times New Roman"/>
          <w:i/>
          <w:iCs/>
          <w:sz w:val="24"/>
          <w:szCs w:val="24"/>
          <w:lang w:val="en-US"/>
        </w:rPr>
        <w:t>et al.</w:t>
      </w:r>
      <w:r w:rsidRPr="00451E72">
        <w:rPr>
          <w:rFonts w:ascii="Times New Roman" w:hAnsi="Times New Roman" w:cs="Times New Roman"/>
          <w:sz w:val="24"/>
          <w:szCs w:val="24"/>
          <w:lang w:val="en-US"/>
        </w:rPr>
        <w:t xml:space="preserve"> Principles of good practice for the translation and cultural adaptation process for patient-reported outcomes (PRO) measures: Report of the ISPOR Task Force for Translation and Cultural Adaptation. </w:t>
      </w:r>
      <w:r w:rsidRPr="00451E72">
        <w:rPr>
          <w:rFonts w:ascii="Times New Roman" w:hAnsi="Times New Roman" w:cs="Times New Roman"/>
          <w:b/>
          <w:bCs/>
          <w:sz w:val="24"/>
          <w:szCs w:val="24"/>
          <w:lang w:val="en-US"/>
        </w:rPr>
        <w:t>Value in Health,</w:t>
      </w:r>
      <w:r w:rsidRPr="00451E72">
        <w:rPr>
          <w:rFonts w:ascii="Times New Roman" w:hAnsi="Times New Roman" w:cs="Times New Roman"/>
          <w:sz w:val="24"/>
          <w:szCs w:val="24"/>
          <w:lang w:val="en-US"/>
        </w:rPr>
        <w:t xml:space="preserve"> v. 8, n. 2, p. 94-104, 2005. </w:t>
      </w:r>
      <w:proofErr w:type="spellStart"/>
      <w:r w:rsidRPr="00451E72">
        <w:rPr>
          <w:rFonts w:ascii="Times New Roman" w:hAnsi="Times New Roman" w:cs="Times New Roman"/>
          <w:sz w:val="24"/>
          <w:szCs w:val="24"/>
          <w:lang w:val="en-US"/>
        </w:rPr>
        <w:t>Disponível</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w:t>
      </w:r>
      <w:hyperlink r:id="rId23" w:history="1">
        <w:r w:rsidRPr="00451E72">
          <w:rPr>
            <w:rFonts w:ascii="Times New Roman" w:hAnsi="Times New Roman" w:cs="Times New Roman"/>
            <w:sz w:val="24"/>
            <w:szCs w:val="24"/>
            <w:lang w:val="en-US"/>
          </w:rPr>
          <w:t>https://pubmed.ncbi.nlm.nih.gov/15804318/</w:t>
        </w:r>
      </w:hyperlink>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Acesso</w:t>
      </w:r>
      <w:proofErr w:type="spellEnd"/>
      <w:r w:rsidRPr="00451E72">
        <w:rPr>
          <w:rFonts w:ascii="Times New Roman" w:hAnsi="Times New Roman" w:cs="Times New Roman"/>
          <w:sz w:val="24"/>
          <w:szCs w:val="24"/>
          <w:lang w:val="en-US"/>
        </w:rPr>
        <w:t xml:space="preserve"> </w:t>
      </w:r>
      <w:proofErr w:type="spellStart"/>
      <w:r w:rsidRPr="00451E72">
        <w:rPr>
          <w:rFonts w:ascii="Times New Roman" w:hAnsi="Times New Roman" w:cs="Times New Roman"/>
          <w:sz w:val="24"/>
          <w:szCs w:val="24"/>
          <w:lang w:val="en-US"/>
        </w:rPr>
        <w:t>em</w:t>
      </w:r>
      <w:proofErr w:type="spellEnd"/>
      <w:r w:rsidRPr="00451E72">
        <w:rPr>
          <w:rFonts w:ascii="Times New Roman" w:hAnsi="Times New Roman" w:cs="Times New Roman"/>
          <w:sz w:val="24"/>
          <w:szCs w:val="24"/>
          <w:lang w:val="en-US"/>
        </w:rPr>
        <w:t xml:space="preserve">: 5 </w:t>
      </w:r>
      <w:proofErr w:type="spellStart"/>
      <w:r w:rsidRPr="00451E72">
        <w:rPr>
          <w:rFonts w:ascii="Times New Roman" w:hAnsi="Times New Roman" w:cs="Times New Roman"/>
          <w:sz w:val="24"/>
          <w:szCs w:val="24"/>
          <w:lang w:val="en-US"/>
        </w:rPr>
        <w:t>maio</w:t>
      </w:r>
      <w:proofErr w:type="spellEnd"/>
      <w:r w:rsidRPr="00451E72">
        <w:rPr>
          <w:rFonts w:ascii="Times New Roman" w:hAnsi="Times New Roman" w:cs="Times New Roman"/>
          <w:sz w:val="24"/>
          <w:szCs w:val="24"/>
          <w:lang w:val="en-US"/>
        </w:rPr>
        <w:t xml:space="preserve"> 2024.</w:t>
      </w:r>
    </w:p>
    <w:p w14:paraId="33C562C3" w14:textId="77777777" w:rsidR="00EF4E78" w:rsidRPr="00451E72" w:rsidRDefault="00EF4E78" w:rsidP="00EF4E78">
      <w:pPr>
        <w:shd w:val="clear" w:color="auto" w:fill="FFFFFF"/>
        <w:spacing w:after="240" w:line="240" w:lineRule="auto"/>
        <w:ind w:left="0" w:hanging="2"/>
        <w:jc w:val="both"/>
        <w:rPr>
          <w:rFonts w:ascii="Times New Roman" w:eastAsia="Times New Roman" w:hAnsi="Times New Roman" w:cs="Times New Roman"/>
          <w:b/>
          <w:sz w:val="24"/>
          <w:szCs w:val="24"/>
        </w:rPr>
      </w:pPr>
      <w:r w:rsidRPr="00451E72">
        <w:rPr>
          <w:rFonts w:ascii="Times New Roman" w:hAnsi="Times New Roman" w:cs="Times New Roman"/>
          <w:sz w:val="24"/>
          <w:szCs w:val="24"/>
          <w:lang w:val="en-US"/>
        </w:rPr>
        <w:t>YUSOFF, M. S. B. ABC of content validation and content validity index calculation. </w:t>
      </w:r>
      <w:proofErr w:type="spellStart"/>
      <w:r w:rsidRPr="00451E72">
        <w:rPr>
          <w:rFonts w:ascii="Times New Roman" w:hAnsi="Times New Roman" w:cs="Times New Roman"/>
          <w:b/>
          <w:bCs/>
          <w:sz w:val="24"/>
          <w:szCs w:val="24"/>
        </w:rPr>
        <w:t>Educational</w:t>
      </w:r>
      <w:proofErr w:type="spellEnd"/>
      <w:r w:rsidRPr="00451E72">
        <w:rPr>
          <w:rFonts w:ascii="Times New Roman" w:hAnsi="Times New Roman" w:cs="Times New Roman"/>
          <w:b/>
          <w:bCs/>
          <w:sz w:val="24"/>
          <w:szCs w:val="24"/>
        </w:rPr>
        <w:t xml:space="preserve"> </w:t>
      </w:r>
      <w:proofErr w:type="spellStart"/>
      <w:r w:rsidRPr="00451E72">
        <w:rPr>
          <w:rFonts w:ascii="Times New Roman" w:hAnsi="Times New Roman" w:cs="Times New Roman"/>
          <w:b/>
          <w:bCs/>
          <w:sz w:val="24"/>
          <w:szCs w:val="24"/>
        </w:rPr>
        <w:t>Resource</w:t>
      </w:r>
      <w:proofErr w:type="spellEnd"/>
      <w:r w:rsidRPr="00451E72">
        <w:rPr>
          <w:rFonts w:ascii="Times New Roman" w:hAnsi="Times New Roman" w:cs="Times New Roman"/>
          <w:sz w:val="24"/>
          <w:szCs w:val="24"/>
        </w:rPr>
        <w:t xml:space="preserve">, v. </w:t>
      </w:r>
      <w:r w:rsidRPr="00451E72">
        <w:rPr>
          <w:rFonts w:ascii="Times New Roman" w:hAnsi="Times New Roman" w:cs="Times New Roman"/>
          <w:i/>
          <w:iCs/>
          <w:sz w:val="24"/>
          <w:szCs w:val="24"/>
        </w:rPr>
        <w:t xml:space="preserve">11, n. </w:t>
      </w:r>
      <w:r w:rsidRPr="00451E72">
        <w:rPr>
          <w:rFonts w:ascii="Times New Roman" w:hAnsi="Times New Roman" w:cs="Times New Roman"/>
          <w:sz w:val="24"/>
          <w:szCs w:val="24"/>
        </w:rPr>
        <w:t xml:space="preserve">2, p. 49-54, 2019. Disponível em: </w:t>
      </w:r>
      <w:hyperlink r:id="rId24" w:history="1">
        <w:r w:rsidRPr="00451E72">
          <w:rPr>
            <w:rFonts w:ascii="Times New Roman" w:hAnsi="Times New Roman" w:cs="Times New Roman"/>
            <w:sz w:val="24"/>
            <w:szCs w:val="24"/>
          </w:rPr>
          <w:t>https://eduimed.usm.my/EIMJ20191102/EIMJ20191102_06.pdf</w:t>
        </w:r>
      </w:hyperlink>
      <w:r w:rsidRPr="00451E72">
        <w:rPr>
          <w:rFonts w:ascii="Times New Roman" w:hAnsi="Times New Roman" w:cs="Times New Roman"/>
          <w:sz w:val="24"/>
          <w:szCs w:val="24"/>
        </w:rPr>
        <w:t xml:space="preserve">. Acesso em: 2 maio 2023. </w:t>
      </w:r>
    </w:p>
    <w:p w14:paraId="366A9CCC" w14:textId="77777777" w:rsidR="00EF4E78" w:rsidRPr="00451E72" w:rsidRDefault="00EF4E78" w:rsidP="00EF4E78">
      <w:pPr>
        <w:shd w:val="clear" w:color="auto" w:fill="FFFFFF"/>
        <w:spacing w:before="280" w:after="280" w:line="240" w:lineRule="auto"/>
        <w:ind w:left="0" w:hanging="2"/>
        <w:jc w:val="both"/>
        <w:rPr>
          <w:rFonts w:ascii="Times New Roman" w:eastAsia="Times New Roman" w:hAnsi="Times New Roman" w:cs="Times New Roman"/>
          <w:b/>
          <w:sz w:val="24"/>
          <w:szCs w:val="24"/>
        </w:rPr>
      </w:pPr>
    </w:p>
    <w:p w14:paraId="000000A4" w14:textId="77777777" w:rsidR="005F6A96" w:rsidRPr="00EF4E78" w:rsidRDefault="005F6A96" w:rsidP="00EF4E78">
      <w:pPr>
        <w:ind w:left="0" w:hanging="2"/>
      </w:pPr>
    </w:p>
    <w:sectPr w:rsidR="005F6A96" w:rsidRPr="00EF4E78" w:rsidSect="00D413A0">
      <w:headerReference w:type="even" r:id="rId25"/>
      <w:headerReference w:type="default" r:id="rId26"/>
      <w:footerReference w:type="even" r:id="rId27"/>
      <w:footerReference w:type="default" r:id="rId28"/>
      <w:headerReference w:type="first" r:id="rId29"/>
      <w:footerReference w:type="first" r:id="rId30"/>
      <w:pgSz w:w="11909" w:h="16834"/>
      <w:pgMar w:top="1701" w:right="1134" w:bottom="1134" w:left="1701" w:header="720" w:footer="720" w:gutter="0"/>
      <w:pgNumType w:start="1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4F50" w14:textId="77777777" w:rsidR="00E335F3" w:rsidRDefault="00E335F3">
      <w:pPr>
        <w:spacing w:line="240" w:lineRule="auto"/>
        <w:ind w:left="0" w:hanging="2"/>
      </w:pPr>
      <w:r>
        <w:separator/>
      </w:r>
    </w:p>
  </w:endnote>
  <w:endnote w:type="continuationSeparator" w:id="0">
    <w:p w14:paraId="65C66851" w14:textId="77777777" w:rsidR="00E335F3" w:rsidRDefault="00E335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20C1" w14:textId="77777777" w:rsidR="00B8616B" w:rsidRDefault="00B8616B">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91047"/>
      <w:docPartObj>
        <w:docPartGallery w:val="Page Numbers (Bottom of Page)"/>
        <w:docPartUnique/>
      </w:docPartObj>
    </w:sdtPr>
    <w:sdtContent>
      <w:p w14:paraId="7C8A52AC" w14:textId="189D5DB9" w:rsidR="00A2660E" w:rsidRDefault="00A2660E">
        <w:pPr>
          <w:pStyle w:val="Rodap"/>
          <w:ind w:left="0" w:hanging="2"/>
          <w:jc w:val="right"/>
        </w:pPr>
        <w:r>
          <w:fldChar w:fldCharType="begin"/>
        </w:r>
        <w:r>
          <w:instrText>PAGE   \* MERGEFORMAT</w:instrText>
        </w:r>
        <w:r>
          <w:fldChar w:fldCharType="separate"/>
        </w:r>
        <w:r>
          <w:rPr>
            <w:noProof/>
          </w:rPr>
          <w:t>455</w:t>
        </w:r>
        <w:r>
          <w:fldChar w:fldCharType="end"/>
        </w:r>
      </w:p>
    </w:sdtContent>
  </w:sdt>
  <w:p w14:paraId="0917DE03" w14:textId="6F8ECE6D" w:rsidR="00A2660E" w:rsidRPr="00A2660E" w:rsidRDefault="00A2660E" w:rsidP="00A2660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A2660E">
      <w:rPr>
        <w:rFonts w:ascii="Times New Roman" w:eastAsia="Times New Roman" w:hAnsi="Times New Roman" w:cs="Times New Roman"/>
        <w:color w:val="000000"/>
        <w:position w:val="0"/>
        <w:sz w:val="24"/>
        <w:szCs w:val="24"/>
        <w:shd w:val="clear" w:color="auto" w:fill="FFFFFF"/>
      </w:rPr>
      <w:t>Interfaces da Educação, Paranaíba, V. 16, N. 4</w:t>
    </w:r>
    <w:r w:rsidR="00D413A0">
      <w:rPr>
        <w:rFonts w:ascii="Times New Roman" w:eastAsia="Times New Roman" w:hAnsi="Times New Roman" w:cs="Times New Roman"/>
        <w:color w:val="000000"/>
        <w:position w:val="0"/>
        <w:sz w:val="24"/>
        <w:szCs w:val="24"/>
        <w:shd w:val="clear" w:color="auto" w:fill="FFFFFF"/>
      </w:rPr>
      <w:t>6</w:t>
    </w:r>
    <w:r w:rsidRPr="00A2660E">
      <w:rPr>
        <w:rFonts w:ascii="Times New Roman" w:eastAsia="Times New Roman" w:hAnsi="Times New Roman" w:cs="Times New Roman"/>
        <w:color w:val="000000"/>
        <w:position w:val="0"/>
        <w:sz w:val="24"/>
        <w:szCs w:val="24"/>
        <w:shd w:val="clear" w:color="auto" w:fill="FFFFFF"/>
      </w:rPr>
      <w:t xml:space="preserve">, p. </w:t>
    </w:r>
    <w:r w:rsidR="00D413A0">
      <w:rPr>
        <w:rFonts w:ascii="Times New Roman" w:eastAsia="Times New Roman" w:hAnsi="Times New Roman" w:cs="Times New Roman"/>
        <w:color w:val="000000"/>
        <w:position w:val="0"/>
        <w:sz w:val="24"/>
        <w:szCs w:val="24"/>
        <w:shd w:val="clear" w:color="auto" w:fill="FFFFFF"/>
      </w:rPr>
      <w:t>171</w:t>
    </w:r>
    <w:r w:rsidRPr="00A2660E">
      <w:rPr>
        <w:rFonts w:ascii="Times New Roman" w:eastAsia="Times New Roman" w:hAnsi="Times New Roman" w:cs="Times New Roman"/>
        <w:color w:val="000000"/>
        <w:position w:val="0"/>
        <w:sz w:val="24"/>
        <w:szCs w:val="24"/>
        <w:shd w:val="clear" w:color="auto" w:fill="FFFFFF"/>
      </w:rPr>
      <w:t xml:space="preserve"> a </w:t>
    </w:r>
    <w:r w:rsidR="00D413A0">
      <w:rPr>
        <w:rFonts w:ascii="Times New Roman" w:eastAsia="Times New Roman" w:hAnsi="Times New Roman" w:cs="Times New Roman"/>
        <w:color w:val="000000"/>
        <w:position w:val="0"/>
        <w:sz w:val="24"/>
        <w:szCs w:val="24"/>
        <w:shd w:val="clear" w:color="auto" w:fill="FFFFFF"/>
      </w:rPr>
      <w:t>188</w:t>
    </w:r>
    <w:r w:rsidRPr="00A2660E">
      <w:rPr>
        <w:rFonts w:ascii="Times New Roman" w:eastAsia="Times New Roman" w:hAnsi="Times New Roman" w:cs="Times New Roman"/>
        <w:color w:val="000000"/>
        <w:position w:val="0"/>
        <w:sz w:val="24"/>
        <w:szCs w:val="24"/>
        <w:shd w:val="clear" w:color="auto" w:fill="FFFFFF"/>
      </w:rPr>
      <w:t>, ano 2025</w:t>
    </w:r>
  </w:p>
  <w:p w14:paraId="73ACBFFA" w14:textId="77777777" w:rsidR="00A2660E" w:rsidRPr="00A2660E" w:rsidRDefault="00A2660E" w:rsidP="00A2660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A2660E">
      <w:rPr>
        <w:rFonts w:ascii="Times New Roman" w:eastAsia="Times New Roman" w:hAnsi="Times New Roman" w:cs="Times New Roman"/>
        <w:color w:val="000000"/>
        <w:position w:val="0"/>
        <w:sz w:val="24"/>
        <w:szCs w:val="24"/>
        <w:shd w:val="clear" w:color="auto" w:fill="FFFFFF"/>
      </w:rPr>
      <w:t>ISSN 2177-7691</w:t>
    </w:r>
  </w:p>
  <w:p w14:paraId="08A81546" w14:textId="77777777" w:rsidR="00B8616B" w:rsidRDefault="00B8616B">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3DAF" w14:textId="77777777" w:rsidR="00B8616B" w:rsidRDefault="00B8616B">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E674" w14:textId="77777777" w:rsidR="00E335F3" w:rsidRDefault="00E335F3">
      <w:pPr>
        <w:spacing w:line="240" w:lineRule="auto"/>
        <w:ind w:left="0" w:hanging="2"/>
      </w:pPr>
      <w:r>
        <w:separator/>
      </w:r>
    </w:p>
  </w:footnote>
  <w:footnote w:type="continuationSeparator" w:id="0">
    <w:p w14:paraId="66A1C4C7" w14:textId="77777777" w:rsidR="00E335F3" w:rsidRDefault="00E335F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98EE" w14:textId="77777777" w:rsidR="00B8616B" w:rsidRDefault="00B8616B">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7" w14:textId="22DCA5FB" w:rsidR="005F6A96" w:rsidRPr="00B8616B" w:rsidRDefault="00601342" w:rsidP="00B8616B">
    <w:pPr>
      <w:pStyle w:val="Cabealho"/>
      <w:ind w:left="0" w:hanging="2"/>
    </w:pPr>
    <w:r>
      <w:rPr>
        <w:noProof/>
      </w:rPr>
      <w:drawing>
        <wp:anchor distT="0" distB="0" distL="114300" distR="114300" simplePos="0" relativeHeight="251659264" behindDoc="1" locked="0" layoutInCell="1" allowOverlap="1" wp14:anchorId="05D860E9" wp14:editId="2F8F5B47">
          <wp:simplePos x="0" y="0"/>
          <wp:positionH relativeFrom="margin">
            <wp:align>left</wp:align>
          </wp:positionH>
          <wp:positionV relativeFrom="paragraph">
            <wp:posOffset>-457200</wp:posOffset>
          </wp:positionV>
          <wp:extent cx="5762625" cy="1266825"/>
          <wp:effectExtent l="0" t="0" r="9525" b="9525"/>
          <wp:wrapNone/>
          <wp:docPr id="1161214013" name="Imagem 2"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14013" name="Imagem 2" descr="Interface gráfica do usuári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11F4" w14:textId="77777777" w:rsidR="00B8616B" w:rsidRDefault="00B8616B">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B543F"/>
    <w:multiLevelType w:val="multilevel"/>
    <w:tmpl w:val="8456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67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96"/>
    <w:rsid w:val="00075BE8"/>
    <w:rsid w:val="00086C68"/>
    <w:rsid w:val="000B7B9E"/>
    <w:rsid w:val="000C521C"/>
    <w:rsid w:val="000E7298"/>
    <w:rsid w:val="00104069"/>
    <w:rsid w:val="00130CE8"/>
    <w:rsid w:val="00142668"/>
    <w:rsid w:val="001620C4"/>
    <w:rsid w:val="001857F4"/>
    <w:rsid w:val="001B050B"/>
    <w:rsid w:val="001D31F2"/>
    <w:rsid w:val="001E11C6"/>
    <w:rsid w:val="00241623"/>
    <w:rsid w:val="002A594C"/>
    <w:rsid w:val="002D4F08"/>
    <w:rsid w:val="00301720"/>
    <w:rsid w:val="0032296C"/>
    <w:rsid w:val="00325DF8"/>
    <w:rsid w:val="003316D3"/>
    <w:rsid w:val="0034068A"/>
    <w:rsid w:val="00361E81"/>
    <w:rsid w:val="003A21A3"/>
    <w:rsid w:val="003B7428"/>
    <w:rsid w:val="003F63B3"/>
    <w:rsid w:val="00475B14"/>
    <w:rsid w:val="0049144F"/>
    <w:rsid w:val="004C4353"/>
    <w:rsid w:val="00511A24"/>
    <w:rsid w:val="00520A68"/>
    <w:rsid w:val="005570D1"/>
    <w:rsid w:val="0056528C"/>
    <w:rsid w:val="00590B0E"/>
    <w:rsid w:val="005D10A2"/>
    <w:rsid w:val="005F252C"/>
    <w:rsid w:val="005F6A96"/>
    <w:rsid w:val="00601342"/>
    <w:rsid w:val="00601CE1"/>
    <w:rsid w:val="006124C2"/>
    <w:rsid w:val="006439EE"/>
    <w:rsid w:val="006862B5"/>
    <w:rsid w:val="006D5874"/>
    <w:rsid w:val="00701B07"/>
    <w:rsid w:val="00716520"/>
    <w:rsid w:val="007476EB"/>
    <w:rsid w:val="00762A9A"/>
    <w:rsid w:val="00765369"/>
    <w:rsid w:val="00767027"/>
    <w:rsid w:val="007B48C7"/>
    <w:rsid w:val="007D099D"/>
    <w:rsid w:val="007D3951"/>
    <w:rsid w:val="007E6AA1"/>
    <w:rsid w:val="007F3223"/>
    <w:rsid w:val="00803887"/>
    <w:rsid w:val="00825F96"/>
    <w:rsid w:val="0083267B"/>
    <w:rsid w:val="00835478"/>
    <w:rsid w:val="008659A0"/>
    <w:rsid w:val="008A3A21"/>
    <w:rsid w:val="008A4133"/>
    <w:rsid w:val="008B26BD"/>
    <w:rsid w:val="009413B0"/>
    <w:rsid w:val="00945011"/>
    <w:rsid w:val="00953360"/>
    <w:rsid w:val="00953A10"/>
    <w:rsid w:val="009930A9"/>
    <w:rsid w:val="009C1840"/>
    <w:rsid w:val="00A165E5"/>
    <w:rsid w:val="00A2660E"/>
    <w:rsid w:val="00A34336"/>
    <w:rsid w:val="00A34AE4"/>
    <w:rsid w:val="00A97FF6"/>
    <w:rsid w:val="00AC6ADF"/>
    <w:rsid w:val="00AC756E"/>
    <w:rsid w:val="00AD35B0"/>
    <w:rsid w:val="00B07536"/>
    <w:rsid w:val="00B11D50"/>
    <w:rsid w:val="00B25483"/>
    <w:rsid w:val="00B327B5"/>
    <w:rsid w:val="00B366DC"/>
    <w:rsid w:val="00B44B59"/>
    <w:rsid w:val="00B612C2"/>
    <w:rsid w:val="00B67B5D"/>
    <w:rsid w:val="00B8616B"/>
    <w:rsid w:val="00BE6FDE"/>
    <w:rsid w:val="00C327FF"/>
    <w:rsid w:val="00C402EC"/>
    <w:rsid w:val="00C40A67"/>
    <w:rsid w:val="00C536C5"/>
    <w:rsid w:val="00D20E64"/>
    <w:rsid w:val="00D27EEA"/>
    <w:rsid w:val="00D413A0"/>
    <w:rsid w:val="00D44283"/>
    <w:rsid w:val="00D47C74"/>
    <w:rsid w:val="00D570BA"/>
    <w:rsid w:val="00E02FFF"/>
    <w:rsid w:val="00E335F3"/>
    <w:rsid w:val="00E5729E"/>
    <w:rsid w:val="00E7410C"/>
    <w:rsid w:val="00EC3C13"/>
    <w:rsid w:val="00ED1986"/>
    <w:rsid w:val="00EF4E78"/>
    <w:rsid w:val="00F104CB"/>
    <w:rsid w:val="00F32438"/>
    <w:rsid w:val="00F632CB"/>
    <w:rsid w:val="00FF1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9B9"/>
  <w15:docId w15:val="{1457463F-6006-4662-9774-E5A77B63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keepLines/>
      <w:spacing w:before="400" w:after="12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
    <w:name w:val="Table Normal1"/>
    <w:next w:val="TableNormal"/>
    <w:pPr>
      <w:suppressAutoHyphens/>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qFormat/>
    <w:rPr>
      <w:color w:val="0000FF"/>
      <w:w w:val="100"/>
      <w:position w:val="-1"/>
      <w:u w:val="single"/>
      <w:effect w:val="none"/>
      <w:vertAlign w:val="baseline"/>
      <w:cs w:val="0"/>
      <w:em w:val="none"/>
    </w:rPr>
  </w:style>
  <w:style w:type="paragraph" w:styleId="Cabealho">
    <w:name w:val="header"/>
    <w:basedOn w:val="Normal"/>
    <w:qFormat/>
    <w:pPr>
      <w:tabs>
        <w:tab w:val="center" w:pos="4252"/>
        <w:tab w:val="right" w:pos="8504"/>
      </w:tabs>
    </w:pPr>
  </w:style>
  <w:style w:type="character" w:customStyle="1" w:styleId="CabealhoChar">
    <w:name w:val="Cabeçalho Char"/>
    <w:rPr>
      <w:w w:val="100"/>
      <w:position w:val="-1"/>
      <w:sz w:val="22"/>
      <w:szCs w:val="22"/>
      <w:effect w:val="none"/>
      <w:vertAlign w:val="baseline"/>
      <w:cs w:val="0"/>
      <w:em w:val="none"/>
    </w:rPr>
  </w:style>
  <w:style w:type="paragraph" w:styleId="Rodap">
    <w:name w:val="footer"/>
    <w:basedOn w:val="Normal"/>
    <w:uiPriority w:val="99"/>
    <w:qFormat/>
    <w:pPr>
      <w:tabs>
        <w:tab w:val="center" w:pos="4252"/>
        <w:tab w:val="right" w:pos="8504"/>
      </w:tabs>
    </w:pPr>
  </w:style>
  <w:style w:type="character" w:customStyle="1" w:styleId="RodapChar">
    <w:name w:val="Rodapé Char"/>
    <w:uiPriority w:val="99"/>
    <w:rPr>
      <w:w w:val="100"/>
      <w:position w:val="-1"/>
      <w:sz w:val="22"/>
      <w:szCs w:val="22"/>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position w:val="-1"/>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basedOn w:val="Fontepargpadro"/>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paragraph" w:styleId="Textodenotaderodap">
    <w:name w:val="footnote text"/>
    <w:basedOn w:val="Normal"/>
    <w:link w:val="TextodenotaderodapChar"/>
    <w:uiPriority w:val="99"/>
    <w:semiHidden/>
    <w:unhideWhenUsed/>
    <w:rsid w:val="007F322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F3223"/>
    <w:rPr>
      <w:position w:val="-1"/>
      <w:sz w:val="20"/>
      <w:szCs w:val="20"/>
    </w:rPr>
  </w:style>
  <w:style w:type="character" w:styleId="Refdenotaderodap">
    <w:name w:val="footnote reference"/>
    <w:basedOn w:val="Fontepargpadro"/>
    <w:uiPriority w:val="99"/>
    <w:semiHidden/>
    <w:unhideWhenUsed/>
    <w:rsid w:val="007F3223"/>
    <w:rPr>
      <w:vertAlign w:val="superscript"/>
    </w:rPr>
  </w:style>
  <w:style w:type="character" w:styleId="nfase">
    <w:name w:val="Emphasis"/>
    <w:basedOn w:val="Fontepargpadro"/>
    <w:uiPriority w:val="20"/>
    <w:qFormat/>
    <w:rsid w:val="00A97FF6"/>
    <w:rPr>
      <w:i/>
      <w:iCs/>
    </w:rPr>
  </w:style>
  <w:style w:type="paragraph" w:styleId="PargrafodaLista">
    <w:name w:val="List Paragraph"/>
    <w:basedOn w:val="Normal"/>
    <w:uiPriority w:val="34"/>
    <w:qFormat/>
    <w:rsid w:val="007D099D"/>
    <w:pPr>
      <w:ind w:left="720"/>
      <w:contextualSpacing/>
    </w:pPr>
  </w:style>
  <w:style w:type="paragraph" w:styleId="Pr-formataoHTML">
    <w:name w:val="HTML Preformatted"/>
    <w:basedOn w:val="Normal"/>
    <w:link w:val="Pr-formataoHTMLChar"/>
    <w:uiPriority w:val="99"/>
    <w:unhideWhenUsed/>
    <w:rsid w:val="00EF4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Pr-formataoHTMLChar">
    <w:name w:val="Pré-formatação HTML Char"/>
    <w:basedOn w:val="Fontepargpadro"/>
    <w:link w:val="Pr-formataoHTML"/>
    <w:uiPriority w:val="99"/>
    <w:rsid w:val="00EF4E78"/>
    <w:rPr>
      <w:rFonts w:ascii="Courier New" w:eastAsia="Times New Roman" w:hAnsi="Courier New" w:cs="Courier New"/>
      <w:sz w:val="20"/>
      <w:szCs w:val="20"/>
    </w:rPr>
  </w:style>
  <w:style w:type="paragraph" w:customStyle="1" w:styleId="CorpoartigoTeias">
    <w:name w:val="Corpo artigo Teias"/>
    <w:autoRedefine/>
    <w:qFormat/>
    <w:rsid w:val="00765369"/>
    <w:pPr>
      <w:tabs>
        <w:tab w:val="left" w:pos="9000"/>
        <w:tab w:val="left" w:pos="9240"/>
      </w:tabs>
      <w:spacing w:line="360" w:lineRule="auto"/>
      <w:contextualSpacing/>
      <w:jc w:val="both"/>
    </w:pPr>
    <w:rPr>
      <w:rFonts w:ascii="Times New Roman" w:eastAsia="Calibri" w:hAnsi="Times New Roman" w:cs="Times New Roman"/>
      <w:color w:val="000000" w:themeColor="text1"/>
      <w:sz w:val="24"/>
      <w:szCs w:val="24"/>
      <w:lang w:eastAsia="en-US"/>
    </w:rPr>
  </w:style>
  <w:style w:type="paragraph" w:customStyle="1" w:styleId="Ttuloartigoingls">
    <w:name w:val="Título artigo inglês"/>
    <w:next w:val="Normal"/>
    <w:autoRedefine/>
    <w:qFormat/>
    <w:rsid w:val="00EF4E78"/>
    <w:pPr>
      <w:spacing w:before="240" w:line="240" w:lineRule="auto"/>
      <w:jc w:val="center"/>
    </w:pPr>
    <w:rPr>
      <w:rFonts w:ascii="Garamond" w:eastAsia="Calibri" w:hAnsi="Garamond" w:cs="Calibri"/>
      <w:b/>
      <w:caps/>
      <w:color w:val="943634" w:themeColor="accent2" w:themeShade="BF"/>
      <w:sz w:val="28"/>
      <w:szCs w:val="24"/>
      <w:lang w:val="en-US" w:eastAsia="en-US"/>
    </w:rPr>
  </w:style>
  <w:style w:type="table" w:styleId="Tabelacomgrade">
    <w:name w:val="Table Grid"/>
    <w:basedOn w:val="Tabelanormal"/>
    <w:uiPriority w:val="39"/>
    <w:rsid w:val="00EF4E78"/>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65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5574">
      <w:bodyDiv w:val="1"/>
      <w:marLeft w:val="0"/>
      <w:marRight w:val="0"/>
      <w:marTop w:val="0"/>
      <w:marBottom w:val="0"/>
      <w:divBdr>
        <w:top w:val="none" w:sz="0" w:space="0" w:color="auto"/>
        <w:left w:val="none" w:sz="0" w:space="0" w:color="auto"/>
        <w:bottom w:val="none" w:sz="0" w:space="0" w:color="auto"/>
        <w:right w:val="none" w:sz="0" w:space="0" w:color="auto"/>
      </w:divBdr>
    </w:div>
    <w:div w:id="122613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590/1982-43272253201314" TargetMode="External"/><Relationship Id="rId18" Type="http://schemas.openxmlformats.org/officeDocument/2006/relationships/hyperlink" Target="https://www.scielosp.org/article/csp/2003.v19n4/1083-1093/"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www.scielo.org.co/scielo.php?script=sci_arttext&amp;pid=S0123-91552012000200003" TargetMode="External"/><Relationship Id="rId7" Type="http://schemas.openxmlformats.org/officeDocument/2006/relationships/footnotes" Target="footnotes.xml"/><Relationship Id="rId12" Type="http://schemas.openxmlformats.org/officeDocument/2006/relationships/hyperlink" Target="https://bienestaryproteccioninfantil.es/las-competencias-emocionales-emotional-competencies/" TargetMode="External"/><Relationship Id="rId17" Type="http://schemas.openxmlformats.org/officeDocument/2006/relationships/hyperlink" Target="https://pubmed.ncbi.nlm.nih.gov/826356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ubmed.ncbi.nlm.nih.gov/9179180/" TargetMode="External"/><Relationship Id="rId20" Type="http://schemas.openxmlformats.org/officeDocument/2006/relationships/hyperlink" Target="https://pubmed.ncbi.nlm.nih.gov/364035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3829472/" TargetMode="External"/><Relationship Id="rId24" Type="http://schemas.openxmlformats.org/officeDocument/2006/relationships/hyperlink" Target="https://eduimed.usm.my/EIMJ20191102/EIMJ20191102_06.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2e.cl/publicaciones/" TargetMode="External"/><Relationship Id="rId23" Type="http://schemas.openxmlformats.org/officeDocument/2006/relationships/hyperlink" Target="https://pubmed.ncbi.nlm.nih.gov/15804318/" TargetMode="External"/><Relationship Id="rId28" Type="http://schemas.openxmlformats.org/officeDocument/2006/relationships/footer" Target="footer2.xml"/><Relationship Id="rId10" Type="http://schemas.openxmlformats.org/officeDocument/2006/relationships/hyperlink" Target="https://pubmed.ncbi.nlm.nih.gov/11124735/" TargetMode="External"/><Relationship Id="rId19" Type="http://schemas.openxmlformats.org/officeDocument/2006/relationships/hyperlink" Target="https://pubmed.ncbi.nlm.nih.gov/9610216/"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sycnet.apa.org/record/2016-15054-004" TargetMode="External"/><Relationship Id="rId14" Type="http://schemas.openxmlformats.org/officeDocument/2006/relationships/hyperlink" Target="https://www.scielo.br/j/paideia/a/cbRxjMqmbZddKpwywVM8mJv/?lang=pt" TargetMode="External"/><Relationship Id="rId22" Type="http://schemas.openxmlformats.org/officeDocument/2006/relationships/hyperlink" Target="https://pubmed.ncbi.nlm.nih.gov/16977646/"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4ei0cWem+YlCMkD2muQuQ5Vbg==">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3E6155-6CAC-4FF6-8CAE-2065C1A0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7548</Words>
  <Characters>40764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Vieira de Araújo</dc:creator>
  <cp:keywords/>
  <dc:description/>
  <cp:lastModifiedBy>Lu Guimarães</cp:lastModifiedBy>
  <cp:revision>1</cp:revision>
  <dcterms:created xsi:type="dcterms:W3CDTF">2026-02-07T02:24:00Z</dcterms:created>
  <dcterms:modified xsi:type="dcterms:W3CDTF">2026-02-07T02:45:00Z</dcterms:modified>
</cp:coreProperties>
</file>